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7CF44" w14:textId="4FE4BC13" w:rsidR="006F15E9" w:rsidRDefault="00F71E43" w:rsidP="00226CE7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D456D0">
        <w:rPr>
          <w:rFonts w:asciiTheme="majorBidi" w:hAnsiTheme="majorBidi" w:cstheme="majorBidi"/>
          <w:b/>
        </w:rPr>
        <w:t>Procedures</w:t>
      </w:r>
      <w:r w:rsidR="005F665E" w:rsidRPr="00D456D0">
        <w:rPr>
          <w:rFonts w:asciiTheme="majorBidi" w:hAnsiTheme="majorBidi" w:cstheme="majorBidi"/>
          <w:b/>
        </w:rPr>
        <w:t xml:space="preserve"> for Faculty </w:t>
      </w:r>
      <w:r w:rsidR="00657A6A" w:rsidRPr="00D456D0">
        <w:rPr>
          <w:rFonts w:asciiTheme="majorBidi" w:hAnsiTheme="majorBidi" w:cstheme="majorBidi"/>
          <w:b/>
        </w:rPr>
        <w:t xml:space="preserve">Leave </w:t>
      </w:r>
      <w:r w:rsidR="00226CE7" w:rsidRPr="00D456D0">
        <w:rPr>
          <w:rFonts w:asciiTheme="majorBidi" w:hAnsiTheme="majorBidi" w:cstheme="majorBidi"/>
          <w:b/>
        </w:rPr>
        <w:t xml:space="preserve">Requests </w:t>
      </w:r>
      <w:r w:rsidR="00657A6A" w:rsidRPr="00D456D0">
        <w:rPr>
          <w:rFonts w:asciiTheme="majorBidi" w:hAnsiTheme="majorBidi" w:cstheme="majorBidi"/>
          <w:b/>
        </w:rPr>
        <w:t xml:space="preserve">and Stop the Clock </w:t>
      </w:r>
      <w:r w:rsidR="00226CE7">
        <w:rPr>
          <w:rFonts w:asciiTheme="majorBidi" w:hAnsiTheme="majorBidi" w:cstheme="majorBidi"/>
          <w:b/>
        </w:rPr>
        <w:t>Notifications</w:t>
      </w:r>
    </w:p>
    <w:p w14:paraId="15100543" w14:textId="7C8CC16F" w:rsidR="00771888" w:rsidRPr="00771888" w:rsidRDefault="00771888" w:rsidP="00226CE7">
      <w:pPr>
        <w:spacing w:after="0" w:line="240" w:lineRule="auto"/>
        <w:jc w:val="center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Revised </w:t>
      </w:r>
      <w:r w:rsidR="00404391">
        <w:rPr>
          <w:rFonts w:asciiTheme="majorBidi" w:hAnsiTheme="majorBidi" w:cstheme="majorBidi"/>
          <w:bCs/>
          <w:i/>
          <w:iCs/>
        </w:rPr>
        <w:t>October</w:t>
      </w:r>
      <w:r w:rsidR="005A7895">
        <w:rPr>
          <w:rFonts w:asciiTheme="majorBidi" w:hAnsiTheme="majorBidi" w:cstheme="majorBidi"/>
          <w:bCs/>
          <w:i/>
          <w:iCs/>
        </w:rPr>
        <w:t xml:space="preserve"> 2020</w:t>
      </w:r>
    </w:p>
    <w:p w14:paraId="58F72F01" w14:textId="77777777" w:rsidR="005F665E" w:rsidRPr="00D456D0" w:rsidRDefault="005F665E" w:rsidP="005F665E">
      <w:pPr>
        <w:spacing w:after="0" w:line="240" w:lineRule="auto"/>
        <w:jc w:val="right"/>
        <w:rPr>
          <w:rFonts w:asciiTheme="majorBidi" w:hAnsiTheme="majorBidi" w:cstheme="majorBidi"/>
        </w:rPr>
      </w:pPr>
    </w:p>
    <w:p w14:paraId="0D6D4EEB" w14:textId="2DB334F2" w:rsidR="006F15E9" w:rsidRPr="00D456D0" w:rsidRDefault="005433F6" w:rsidP="00712675">
      <w:pPr>
        <w:spacing w:after="0" w:line="240" w:lineRule="auto"/>
        <w:ind w:right="-18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101"/>
        </w:rPr>
        <w:t xml:space="preserve">This document is intended </w:t>
      </w:r>
      <w:r w:rsidR="00657A6A" w:rsidRPr="00D456D0">
        <w:rPr>
          <w:rFonts w:asciiTheme="majorBidi" w:hAnsiTheme="majorBidi" w:cstheme="majorBidi"/>
          <w:color w:val="000101"/>
        </w:rPr>
        <w:t xml:space="preserve">to clarify how faculty can make leave </w:t>
      </w:r>
      <w:r w:rsidR="00226CE7" w:rsidRPr="00D456D0">
        <w:rPr>
          <w:rFonts w:asciiTheme="majorBidi" w:hAnsiTheme="majorBidi" w:cstheme="majorBidi"/>
          <w:color w:val="000101"/>
        </w:rPr>
        <w:t xml:space="preserve">requests </w:t>
      </w:r>
      <w:r w:rsidR="00657A6A" w:rsidRPr="00D456D0">
        <w:rPr>
          <w:rFonts w:asciiTheme="majorBidi" w:hAnsiTheme="majorBidi" w:cstheme="majorBidi"/>
          <w:color w:val="000101"/>
        </w:rPr>
        <w:t>or stop the clock</w:t>
      </w:r>
      <w:r w:rsidR="00226CE7">
        <w:rPr>
          <w:rFonts w:asciiTheme="majorBidi" w:hAnsiTheme="majorBidi" w:cstheme="majorBidi"/>
          <w:color w:val="000101"/>
        </w:rPr>
        <w:t xml:space="preserve"> notifications</w:t>
      </w:r>
      <w:r w:rsidR="00657A6A" w:rsidRPr="00D456D0">
        <w:rPr>
          <w:rFonts w:asciiTheme="majorBidi" w:hAnsiTheme="majorBidi" w:cstheme="majorBidi"/>
          <w:color w:val="000101"/>
        </w:rPr>
        <w:t>. The</w:t>
      </w:r>
      <w:r>
        <w:rPr>
          <w:rFonts w:asciiTheme="majorBidi" w:hAnsiTheme="majorBidi" w:cstheme="majorBidi"/>
          <w:color w:val="000101"/>
        </w:rPr>
        <w:t xml:space="preserve"> information is</w:t>
      </w:r>
      <w:r w:rsidR="00657A6A" w:rsidRPr="00D456D0">
        <w:rPr>
          <w:rFonts w:asciiTheme="majorBidi" w:hAnsiTheme="majorBidi" w:cstheme="majorBidi"/>
          <w:color w:val="000101"/>
        </w:rPr>
        <w:t xml:space="preserve"> taken from the Faculty Handbook and Collective Bargaining Agreement (CBA). </w:t>
      </w:r>
      <w:r w:rsidR="001D3435" w:rsidRPr="00D456D0">
        <w:rPr>
          <w:rFonts w:asciiTheme="majorBidi" w:hAnsiTheme="majorBidi" w:cstheme="majorBidi"/>
          <w:color w:val="000000"/>
          <w:u w:val="single"/>
        </w:rPr>
        <w:t xml:space="preserve">Faculty should read the relevant sections of the Faculty Handbook </w:t>
      </w:r>
      <w:r>
        <w:rPr>
          <w:rFonts w:asciiTheme="majorBidi" w:hAnsiTheme="majorBidi" w:cstheme="majorBidi"/>
          <w:color w:val="000000"/>
          <w:u w:val="single"/>
        </w:rPr>
        <w:t xml:space="preserve">and CBA </w:t>
      </w:r>
      <w:r w:rsidR="001D3435" w:rsidRPr="00D456D0">
        <w:rPr>
          <w:rFonts w:asciiTheme="majorBidi" w:hAnsiTheme="majorBidi" w:cstheme="majorBidi"/>
          <w:color w:val="000000"/>
          <w:u w:val="single"/>
        </w:rPr>
        <w:t xml:space="preserve">for </w:t>
      </w:r>
      <w:r w:rsidR="00712675">
        <w:rPr>
          <w:rFonts w:asciiTheme="majorBidi" w:hAnsiTheme="majorBidi" w:cstheme="majorBidi"/>
          <w:color w:val="000000"/>
          <w:u w:val="single"/>
        </w:rPr>
        <w:t>additional</w:t>
      </w:r>
      <w:r w:rsidR="001D3435" w:rsidRPr="00D456D0">
        <w:rPr>
          <w:rFonts w:asciiTheme="majorBidi" w:hAnsiTheme="majorBidi" w:cstheme="majorBidi"/>
          <w:color w:val="000000"/>
          <w:u w:val="single"/>
        </w:rPr>
        <w:t xml:space="preserve"> </w:t>
      </w:r>
      <w:r>
        <w:rPr>
          <w:rFonts w:asciiTheme="majorBidi" w:hAnsiTheme="majorBidi" w:cstheme="majorBidi"/>
          <w:color w:val="000000"/>
          <w:u w:val="single"/>
        </w:rPr>
        <w:t>important information</w:t>
      </w:r>
      <w:r w:rsidR="001D3435" w:rsidRPr="00D456D0">
        <w:rPr>
          <w:rFonts w:asciiTheme="majorBidi" w:hAnsiTheme="majorBidi" w:cstheme="majorBidi"/>
          <w:color w:val="000000"/>
        </w:rPr>
        <w:t>.</w:t>
      </w:r>
    </w:p>
    <w:p w14:paraId="74AE66ED" w14:textId="77777777" w:rsidR="001D3435" w:rsidRPr="00D456D0" w:rsidRDefault="001D3435" w:rsidP="001D3435">
      <w:pPr>
        <w:spacing w:after="0" w:line="240" w:lineRule="auto"/>
        <w:rPr>
          <w:rFonts w:asciiTheme="majorBidi" w:hAnsiTheme="majorBidi" w:cstheme="majorBidi"/>
        </w:rPr>
      </w:pPr>
    </w:p>
    <w:p w14:paraId="61CCC4AA" w14:textId="484EA008" w:rsidR="00E815CB" w:rsidRPr="00D456D0" w:rsidRDefault="00E815CB" w:rsidP="00657A6A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456D0">
        <w:rPr>
          <w:rFonts w:asciiTheme="majorBidi" w:hAnsiTheme="majorBidi" w:cstheme="majorBidi"/>
          <w:b/>
          <w:bCs/>
        </w:rPr>
        <w:t>1.</w:t>
      </w:r>
      <w:r w:rsidRPr="00D456D0">
        <w:rPr>
          <w:rFonts w:asciiTheme="majorBidi" w:hAnsiTheme="majorBidi" w:cstheme="majorBidi"/>
          <w:b/>
          <w:bCs/>
        </w:rPr>
        <w:tab/>
      </w:r>
      <w:r w:rsidR="00657A6A" w:rsidRPr="00D456D0">
        <w:rPr>
          <w:rFonts w:asciiTheme="majorBidi" w:hAnsiTheme="majorBidi" w:cstheme="majorBidi"/>
          <w:b/>
          <w:bCs/>
        </w:rPr>
        <w:t>Sabbatical leave</w:t>
      </w:r>
    </w:p>
    <w:p w14:paraId="20D13F34" w14:textId="5B1BAB96" w:rsidR="00E815CB" w:rsidRPr="00D456D0" w:rsidRDefault="00E815CB">
      <w:pPr>
        <w:spacing w:after="0" w:line="240" w:lineRule="auto"/>
        <w:rPr>
          <w:rFonts w:asciiTheme="majorBidi" w:hAnsiTheme="majorBidi" w:cstheme="majorBidi"/>
        </w:rPr>
      </w:pPr>
    </w:p>
    <w:p w14:paraId="17471459" w14:textId="4E6AD075" w:rsidR="005433F6" w:rsidRPr="00D456D0" w:rsidRDefault="005433F6" w:rsidP="00A7582C">
      <w:pPr>
        <w:spacing w:after="120" w:line="240" w:lineRule="auto"/>
      </w:pPr>
      <w:r w:rsidRPr="00F22937">
        <w:rPr>
          <w:rFonts w:asciiTheme="majorBidi" w:hAnsiTheme="majorBidi" w:cstheme="majorBidi"/>
          <w:b/>
          <w:bCs/>
        </w:rPr>
        <w:t xml:space="preserve">What </w:t>
      </w:r>
      <w:r w:rsidR="00A7582C" w:rsidRPr="00F22937">
        <w:rPr>
          <w:rFonts w:asciiTheme="majorBidi" w:hAnsiTheme="majorBidi" w:cstheme="majorBidi"/>
          <w:b/>
          <w:bCs/>
        </w:rPr>
        <w:t xml:space="preserve">it </w:t>
      </w:r>
      <w:r w:rsidRPr="00F22937">
        <w:rPr>
          <w:rFonts w:asciiTheme="majorBidi" w:hAnsiTheme="majorBidi" w:cstheme="majorBidi"/>
          <w:b/>
          <w:bCs/>
        </w:rPr>
        <w:t>is</w:t>
      </w:r>
      <w:r>
        <w:rPr>
          <w:rFonts w:asciiTheme="majorBidi" w:hAnsiTheme="majorBidi" w:cstheme="majorBidi"/>
        </w:rPr>
        <w:t xml:space="preserve">. </w:t>
      </w:r>
      <w:r w:rsidRPr="00F22937">
        <w:rPr>
          <w:rFonts w:asciiTheme="majorBidi" w:hAnsiTheme="majorBidi" w:cstheme="majorBidi"/>
        </w:rPr>
        <w:t xml:space="preserve">On submission of an appropriate work plan, sabbatical leave may be granted to </w:t>
      </w:r>
      <w:r w:rsidRPr="00F22937">
        <w:rPr>
          <w:rFonts w:asciiTheme="majorBidi" w:hAnsiTheme="majorBidi" w:cstheme="majorBidi"/>
          <w:color w:val="000000"/>
          <w:shd w:val="clear" w:color="auto" w:fill="FFFFFF"/>
        </w:rPr>
        <w:t>full-time tenure-track or tenured assistant, associate, and full professors; to full-time, continuing track faculty; and to administrators holding academic rank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14:paraId="4F9291D4" w14:textId="168D3FAE" w:rsidR="00F53FA8" w:rsidRPr="005433F6" w:rsidRDefault="003778AC" w:rsidP="00712675">
      <w:pPr>
        <w:spacing w:after="120" w:line="240" w:lineRule="auto"/>
        <w:rPr>
          <w:rFonts w:asciiTheme="majorBidi" w:hAnsiTheme="majorBidi" w:cstheme="majorBidi"/>
        </w:rPr>
      </w:pPr>
      <w:r w:rsidRPr="00712675">
        <w:rPr>
          <w:rFonts w:asciiTheme="majorBidi" w:hAnsiTheme="majorBidi" w:cstheme="majorBidi"/>
          <w:b/>
          <w:bCs/>
        </w:rPr>
        <w:t>For more information</w:t>
      </w:r>
      <w:r>
        <w:rPr>
          <w:rFonts w:asciiTheme="majorBidi" w:hAnsiTheme="majorBidi" w:cstheme="majorBidi"/>
        </w:rPr>
        <w:t xml:space="preserve">. </w:t>
      </w:r>
      <w:r w:rsidR="00F53FA8" w:rsidRPr="005433F6">
        <w:rPr>
          <w:rFonts w:asciiTheme="majorBidi" w:hAnsiTheme="majorBidi" w:cstheme="majorBidi"/>
        </w:rPr>
        <w:t xml:space="preserve">See Faculty Handbook </w:t>
      </w:r>
      <w:hyperlink r:id="rId7" w:history="1">
        <w:r w:rsidR="00F53FA8" w:rsidRPr="005433F6">
          <w:rPr>
            <w:rStyle w:val="Hyperlink"/>
            <w:rFonts w:asciiTheme="majorBidi" w:hAnsiTheme="majorBidi" w:cstheme="majorBidi"/>
          </w:rPr>
          <w:t>Section 4.1.14.7</w:t>
        </w:r>
      </w:hyperlink>
      <w:r w:rsidR="00F53FA8" w:rsidRPr="005433F6">
        <w:rPr>
          <w:rFonts w:asciiTheme="majorBidi" w:hAnsiTheme="majorBidi" w:cstheme="majorBidi"/>
        </w:rPr>
        <w:t xml:space="preserve"> </w:t>
      </w:r>
    </w:p>
    <w:p w14:paraId="2488C508" w14:textId="77777777" w:rsidR="00226CE7" w:rsidRPr="00712675" w:rsidRDefault="00226CE7" w:rsidP="00712675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712675">
        <w:rPr>
          <w:rFonts w:asciiTheme="majorBidi" w:hAnsiTheme="majorBidi" w:cstheme="majorBidi"/>
          <w:b/>
          <w:bCs/>
          <w:color w:val="000000"/>
          <w:shd w:val="clear" w:color="auto" w:fill="FFFFFF"/>
        </w:rPr>
        <w:t>Process</w:t>
      </w:r>
    </w:p>
    <w:p w14:paraId="47B5C155" w14:textId="5AC3CC7D" w:rsidR="00F53FA8" w:rsidRPr="00D456D0" w:rsidRDefault="00F53FA8" w:rsidP="00712675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</w:rPr>
      </w:pPr>
      <w:r w:rsidRPr="00D456D0">
        <w:rPr>
          <w:rFonts w:asciiTheme="majorBidi" w:hAnsiTheme="majorBidi" w:cstheme="majorBidi"/>
          <w:color w:val="000000"/>
          <w:shd w:val="clear" w:color="auto" w:fill="FFFFFF"/>
        </w:rPr>
        <w:t xml:space="preserve">Go to </w:t>
      </w:r>
      <w:hyperlink r:id="rId8" w:history="1">
        <w:r w:rsidRPr="00D456D0">
          <w:rPr>
            <w:rStyle w:val="Hyperlink"/>
            <w:rFonts w:asciiTheme="majorBidi" w:hAnsiTheme="majorBidi" w:cstheme="majorBidi"/>
            <w:shd w:val="clear" w:color="auto" w:fill="FFFFFF"/>
          </w:rPr>
          <w:t>webforms</w:t>
        </w:r>
      </w:hyperlink>
      <w:r w:rsidR="003D0A1E" w:rsidRPr="00D456D0">
        <w:rPr>
          <w:rFonts w:asciiTheme="majorBidi" w:hAnsiTheme="majorBidi" w:cstheme="majorBidi"/>
          <w:color w:val="000000"/>
          <w:shd w:val="clear" w:color="auto" w:fill="FFFFFF"/>
        </w:rPr>
        <w:t xml:space="preserve">. </w:t>
      </w:r>
      <w:r w:rsidRPr="00D456D0">
        <w:rPr>
          <w:rFonts w:asciiTheme="majorBidi" w:hAnsiTheme="majorBidi" w:cstheme="majorBidi"/>
          <w:color w:val="000000"/>
          <w:shd w:val="clear" w:color="auto" w:fill="FFFFFF"/>
        </w:rPr>
        <w:t>Click on the “Blanks” tab and find the “Sabbatical Leave Request” webform</w:t>
      </w:r>
      <w:r w:rsidR="003D0A1E" w:rsidRPr="00D456D0"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14:paraId="75CC4F26" w14:textId="4BD58D3C" w:rsidR="00F53FA8" w:rsidRPr="00DA634B" w:rsidRDefault="00F53FA8" w:rsidP="00712675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</w:rPr>
      </w:pPr>
      <w:r w:rsidRPr="00DA634B">
        <w:rPr>
          <w:rFonts w:asciiTheme="majorBidi" w:hAnsiTheme="majorBidi" w:cstheme="majorBidi"/>
          <w:shd w:val="clear" w:color="auto" w:fill="FFFFFF"/>
        </w:rPr>
        <w:t xml:space="preserve">You will be asked </w:t>
      </w:r>
      <w:r w:rsidR="00744D2F">
        <w:rPr>
          <w:rFonts w:asciiTheme="majorBidi" w:hAnsiTheme="majorBidi" w:cstheme="majorBidi"/>
          <w:shd w:val="clear" w:color="auto" w:fill="FFFFFF"/>
        </w:rPr>
        <w:t>for</w:t>
      </w:r>
      <w:r w:rsidR="00DF6F91" w:rsidRPr="00DA634B">
        <w:rPr>
          <w:rFonts w:asciiTheme="majorBidi" w:hAnsiTheme="majorBidi" w:cstheme="majorBidi"/>
          <w:shd w:val="clear" w:color="auto" w:fill="FFFFFF"/>
        </w:rPr>
        <w:t>:</w:t>
      </w:r>
      <w:r w:rsidRPr="00DA634B">
        <w:rPr>
          <w:rFonts w:asciiTheme="majorBidi" w:hAnsiTheme="majorBidi" w:cstheme="majorBidi"/>
          <w:shd w:val="clear" w:color="auto" w:fill="FFFFFF"/>
        </w:rPr>
        <w:t xml:space="preserve"> </w:t>
      </w:r>
    </w:p>
    <w:p w14:paraId="2B2944F9" w14:textId="5A980971" w:rsidR="00F53FA8" w:rsidRPr="00DA634B" w:rsidRDefault="00744D2F" w:rsidP="00712675">
      <w:pPr>
        <w:pStyle w:val="ListParagraph"/>
        <w:numPr>
          <w:ilvl w:val="1"/>
          <w:numId w:val="2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hd w:val="clear" w:color="auto" w:fill="FFFFFF"/>
        </w:rPr>
        <w:t>D</w:t>
      </w:r>
      <w:r w:rsidR="00F53FA8" w:rsidRPr="00DA634B">
        <w:rPr>
          <w:rFonts w:asciiTheme="majorBidi" w:hAnsiTheme="majorBidi" w:cstheme="majorBidi"/>
          <w:shd w:val="clear" w:color="auto" w:fill="FFFFFF"/>
        </w:rPr>
        <w:t xml:space="preserve">ate </w:t>
      </w:r>
      <w:r w:rsidR="00DF6F91" w:rsidRPr="00DA634B">
        <w:rPr>
          <w:rFonts w:asciiTheme="majorBidi" w:hAnsiTheme="majorBidi" w:cstheme="majorBidi"/>
          <w:shd w:val="clear" w:color="auto" w:fill="FFFFFF"/>
        </w:rPr>
        <w:t xml:space="preserve">of </w:t>
      </w:r>
      <w:r w:rsidR="00F53FA8" w:rsidRPr="00DA634B">
        <w:rPr>
          <w:rFonts w:asciiTheme="majorBidi" w:hAnsiTheme="majorBidi" w:cstheme="majorBidi"/>
          <w:shd w:val="clear" w:color="auto" w:fill="FFFFFF"/>
        </w:rPr>
        <w:t>initial full-time appointment to UD faculty</w:t>
      </w:r>
    </w:p>
    <w:p w14:paraId="337B9F19" w14:textId="3DE27B2D" w:rsidR="00F53FA8" w:rsidRPr="00DA634B" w:rsidRDefault="00712675" w:rsidP="00712675">
      <w:pPr>
        <w:pStyle w:val="ListParagraph"/>
        <w:numPr>
          <w:ilvl w:val="1"/>
          <w:numId w:val="2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hd w:val="clear" w:color="auto" w:fill="FFFFFF"/>
        </w:rPr>
        <w:t>Requested s</w:t>
      </w:r>
      <w:r w:rsidRPr="00DA634B">
        <w:rPr>
          <w:rFonts w:asciiTheme="majorBidi" w:hAnsiTheme="majorBidi" w:cstheme="majorBidi"/>
          <w:shd w:val="clear" w:color="auto" w:fill="FFFFFF"/>
        </w:rPr>
        <w:t xml:space="preserve">abbatical </w:t>
      </w:r>
      <w:r w:rsidR="00744D2F">
        <w:rPr>
          <w:rFonts w:asciiTheme="majorBidi" w:hAnsiTheme="majorBidi" w:cstheme="majorBidi"/>
          <w:shd w:val="clear" w:color="auto" w:fill="FFFFFF"/>
        </w:rPr>
        <w:t>duration—</w:t>
      </w:r>
      <w:r w:rsidR="00F53FA8" w:rsidRPr="00DA634B">
        <w:rPr>
          <w:rFonts w:asciiTheme="majorBidi" w:hAnsiTheme="majorBidi" w:cstheme="majorBidi"/>
          <w:shd w:val="clear" w:color="auto" w:fill="FFFFFF"/>
        </w:rPr>
        <w:t>a semester, half-year, or full-year, and specific dates.</w:t>
      </w:r>
      <w:r w:rsidR="00CC55C3" w:rsidRPr="00DA634B">
        <w:rPr>
          <w:rFonts w:asciiTheme="majorBidi" w:hAnsiTheme="majorBidi" w:cstheme="majorBidi"/>
          <w:shd w:val="clear" w:color="auto" w:fill="FFFFFF"/>
        </w:rPr>
        <w:t xml:space="preserve"> The following options are available: </w:t>
      </w:r>
    </w:p>
    <w:p w14:paraId="02F3A653" w14:textId="48BB8514" w:rsidR="00CC55C3" w:rsidRPr="00DA634B" w:rsidRDefault="00CC55C3" w:rsidP="00712675">
      <w:pPr>
        <w:pStyle w:val="ListParagraph"/>
        <w:numPr>
          <w:ilvl w:val="2"/>
          <w:numId w:val="21"/>
        </w:numPr>
        <w:spacing w:after="0" w:line="240" w:lineRule="auto"/>
        <w:rPr>
          <w:rFonts w:asciiTheme="majorBidi" w:hAnsiTheme="majorBidi" w:cstheme="majorBidi"/>
        </w:rPr>
      </w:pPr>
      <w:r w:rsidRPr="00DA634B">
        <w:rPr>
          <w:rFonts w:asciiTheme="majorBidi" w:hAnsiTheme="majorBidi" w:cstheme="majorBidi"/>
        </w:rPr>
        <w:t xml:space="preserve">Option A. </w:t>
      </w:r>
      <w:r w:rsidRPr="00DA634B">
        <w:rPr>
          <w:rFonts w:asciiTheme="majorBidi" w:eastAsia="Times New Roman" w:hAnsiTheme="majorBidi" w:cstheme="majorBidi"/>
        </w:rPr>
        <w:t>After six appointment years of full-time service, one year at 75% of salary, or one-half an appointment year at full salary will be granted.</w:t>
      </w:r>
    </w:p>
    <w:p w14:paraId="5CED242F" w14:textId="64079CC8" w:rsidR="00CC55C3" w:rsidRPr="00DA634B" w:rsidRDefault="00CC55C3" w:rsidP="00712675">
      <w:pPr>
        <w:pStyle w:val="ListParagraph"/>
        <w:numPr>
          <w:ilvl w:val="2"/>
          <w:numId w:val="21"/>
        </w:numPr>
        <w:spacing w:after="0" w:line="240" w:lineRule="auto"/>
        <w:rPr>
          <w:rFonts w:asciiTheme="majorBidi" w:hAnsiTheme="majorBidi" w:cstheme="majorBidi"/>
        </w:rPr>
      </w:pPr>
      <w:r w:rsidRPr="00DA634B">
        <w:rPr>
          <w:rFonts w:asciiTheme="majorBidi" w:eastAsia="Times New Roman" w:hAnsiTheme="majorBidi" w:cstheme="majorBidi"/>
        </w:rPr>
        <w:t>Option B. After three appointment years of full-time service, one-half an appointment year at half salary will be granted.</w:t>
      </w:r>
    </w:p>
    <w:p w14:paraId="2B11B23E" w14:textId="5A065DDF" w:rsidR="00CC55C3" w:rsidRPr="00DA634B" w:rsidRDefault="00CC55C3" w:rsidP="00712675">
      <w:pPr>
        <w:pStyle w:val="ListParagraph"/>
        <w:numPr>
          <w:ilvl w:val="2"/>
          <w:numId w:val="21"/>
        </w:numPr>
        <w:spacing w:after="0" w:line="240" w:lineRule="auto"/>
        <w:rPr>
          <w:rFonts w:asciiTheme="majorBidi" w:hAnsiTheme="majorBidi" w:cstheme="majorBidi"/>
        </w:rPr>
      </w:pPr>
      <w:r w:rsidRPr="00DA634B">
        <w:rPr>
          <w:rFonts w:asciiTheme="majorBidi" w:eastAsia="Times New Roman" w:hAnsiTheme="majorBidi" w:cstheme="majorBidi"/>
        </w:rPr>
        <w:t xml:space="preserve">Option C. Faculty holding named professorships or named chairs receive full salary for leave </w:t>
      </w:r>
      <w:r w:rsidR="00681722" w:rsidRPr="00DA634B">
        <w:rPr>
          <w:rFonts w:asciiTheme="majorBidi" w:eastAsia="Times New Roman" w:hAnsiTheme="majorBidi" w:cstheme="majorBidi"/>
        </w:rPr>
        <w:t>O</w:t>
      </w:r>
      <w:r w:rsidRPr="00DA634B">
        <w:rPr>
          <w:rFonts w:asciiTheme="majorBidi" w:eastAsia="Times New Roman" w:hAnsiTheme="majorBidi" w:cstheme="majorBidi"/>
        </w:rPr>
        <w:t xml:space="preserve">ptions </w:t>
      </w:r>
      <w:r w:rsidR="00681722" w:rsidRPr="00DA634B">
        <w:rPr>
          <w:rFonts w:asciiTheme="majorBidi" w:eastAsia="Times New Roman" w:hAnsiTheme="majorBidi" w:cstheme="majorBidi"/>
        </w:rPr>
        <w:t>A</w:t>
      </w:r>
      <w:r w:rsidRPr="00DA634B">
        <w:rPr>
          <w:rFonts w:asciiTheme="majorBidi" w:eastAsia="Times New Roman" w:hAnsiTheme="majorBidi" w:cstheme="majorBidi"/>
        </w:rPr>
        <w:t xml:space="preserve"> or </w:t>
      </w:r>
      <w:r w:rsidR="00681722" w:rsidRPr="00DA634B">
        <w:rPr>
          <w:rFonts w:asciiTheme="majorBidi" w:eastAsia="Times New Roman" w:hAnsiTheme="majorBidi" w:cstheme="majorBidi"/>
        </w:rPr>
        <w:t>B.</w:t>
      </w:r>
    </w:p>
    <w:p w14:paraId="3A43B049" w14:textId="7318097C" w:rsidR="00F53FA8" w:rsidRPr="00DA634B" w:rsidRDefault="00744D2F" w:rsidP="00712675">
      <w:pPr>
        <w:pStyle w:val="ListParagraph"/>
        <w:numPr>
          <w:ilvl w:val="1"/>
          <w:numId w:val="2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hd w:val="clear" w:color="auto" w:fill="FFFFFF"/>
        </w:rPr>
        <w:t>S</w:t>
      </w:r>
      <w:r w:rsidR="00F53FA8" w:rsidRPr="00DA634B">
        <w:rPr>
          <w:rFonts w:asciiTheme="majorBidi" w:hAnsiTheme="majorBidi" w:cstheme="majorBidi"/>
          <w:shd w:val="clear" w:color="auto" w:fill="FFFFFF"/>
        </w:rPr>
        <w:t>ummary of proposed sabbatical activities (max. 500 characters)</w:t>
      </w:r>
    </w:p>
    <w:p w14:paraId="72E67DEA" w14:textId="7C30BEF9" w:rsidR="00F53FA8" w:rsidRPr="00DA634B" w:rsidRDefault="00744D2F" w:rsidP="00712675">
      <w:pPr>
        <w:pStyle w:val="ListParagraph"/>
        <w:numPr>
          <w:ilvl w:val="1"/>
          <w:numId w:val="2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hd w:val="clear" w:color="auto" w:fill="FFFFFF"/>
        </w:rPr>
        <w:t>F</w:t>
      </w:r>
      <w:r w:rsidR="00DF6F91" w:rsidRPr="00DA634B">
        <w:rPr>
          <w:rFonts w:asciiTheme="majorBidi" w:hAnsiTheme="majorBidi" w:cstheme="majorBidi"/>
          <w:shd w:val="clear" w:color="auto" w:fill="FFFFFF"/>
        </w:rPr>
        <w:t>ile describing proposal of leave activities</w:t>
      </w:r>
    </w:p>
    <w:p w14:paraId="3BBE55B4" w14:textId="751B4A12" w:rsidR="00DF6F91" w:rsidRPr="00DA634B" w:rsidRDefault="00DF6F91" w:rsidP="00712675">
      <w:pPr>
        <w:pStyle w:val="ListParagraph"/>
        <w:numPr>
          <w:ilvl w:val="1"/>
          <w:numId w:val="21"/>
        </w:numPr>
        <w:spacing w:after="0" w:line="240" w:lineRule="auto"/>
        <w:rPr>
          <w:rFonts w:asciiTheme="majorBidi" w:hAnsiTheme="majorBidi" w:cstheme="majorBidi"/>
        </w:rPr>
      </w:pPr>
      <w:r w:rsidRPr="00DA634B">
        <w:rPr>
          <w:rFonts w:asciiTheme="majorBidi" w:hAnsiTheme="majorBidi" w:cstheme="majorBidi"/>
          <w:shd w:val="clear" w:color="auto" w:fill="FFFFFF"/>
        </w:rPr>
        <w:t>CV</w:t>
      </w:r>
    </w:p>
    <w:p w14:paraId="59BEFCBE" w14:textId="0E2ABEE2" w:rsidR="00226CE7" w:rsidRPr="00DA634B" w:rsidRDefault="00744D2F" w:rsidP="00712675">
      <w:pPr>
        <w:pStyle w:val="ListParagraph"/>
        <w:numPr>
          <w:ilvl w:val="1"/>
          <w:numId w:val="2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hd w:val="clear" w:color="auto" w:fill="FFFFFF"/>
        </w:rPr>
        <w:t>P</w:t>
      </w:r>
      <w:r w:rsidR="00DF6F91" w:rsidRPr="00DA634B">
        <w:rPr>
          <w:rFonts w:asciiTheme="majorBidi" w:hAnsiTheme="majorBidi" w:cstheme="majorBidi"/>
          <w:shd w:val="clear" w:color="auto" w:fill="FFFFFF"/>
        </w:rPr>
        <w:t>revious sabbatical reports</w:t>
      </w:r>
    </w:p>
    <w:p w14:paraId="125818A8" w14:textId="00BDBBD1" w:rsidR="003F1AF8" w:rsidRPr="00712675" w:rsidRDefault="003F1AF8" w:rsidP="00712675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</w:rPr>
      </w:pPr>
      <w:r w:rsidRPr="00712675">
        <w:rPr>
          <w:rFonts w:asciiTheme="majorBidi" w:hAnsiTheme="majorBidi" w:cstheme="majorBidi"/>
          <w:shd w:val="clear" w:color="auto" w:fill="FFFFFF"/>
        </w:rPr>
        <w:t xml:space="preserve">If </w:t>
      </w:r>
      <w:r w:rsidRPr="00712675">
        <w:rPr>
          <w:rFonts w:asciiTheme="majorBidi" w:hAnsiTheme="majorBidi" w:cstheme="majorBidi"/>
        </w:rPr>
        <w:t>the request needs to be modified after the webform has been submitted, that cannot be done in webforms. Instead, the faculty</w:t>
      </w:r>
      <w:r w:rsidR="009B3C12" w:rsidRPr="00712675">
        <w:rPr>
          <w:rFonts w:asciiTheme="majorBidi" w:hAnsiTheme="majorBidi" w:cstheme="majorBidi"/>
        </w:rPr>
        <w:t xml:space="preserve"> member</w:t>
      </w:r>
      <w:r w:rsidRPr="00712675">
        <w:rPr>
          <w:rFonts w:asciiTheme="majorBidi" w:hAnsiTheme="majorBidi" w:cstheme="majorBidi"/>
        </w:rPr>
        <w:t xml:space="preserve"> should email the Department Chair then the Dean for approval of the change. The Dean then sends the request to the Provost who alerts </w:t>
      </w:r>
      <w:r w:rsidR="00226CE7">
        <w:rPr>
          <w:rFonts w:asciiTheme="majorBidi" w:hAnsiTheme="majorBidi" w:cstheme="majorBidi"/>
        </w:rPr>
        <w:t xml:space="preserve">UD </w:t>
      </w:r>
      <w:r w:rsidRPr="00712675">
        <w:rPr>
          <w:rFonts w:asciiTheme="majorBidi" w:hAnsiTheme="majorBidi" w:cstheme="majorBidi"/>
        </w:rPr>
        <w:t>HR if approved.  </w:t>
      </w:r>
    </w:p>
    <w:p w14:paraId="1A86AACD" w14:textId="77777777" w:rsidR="007D69CF" w:rsidRPr="00D456D0" w:rsidRDefault="007D69CF">
      <w:pPr>
        <w:spacing w:after="0" w:line="240" w:lineRule="auto"/>
        <w:rPr>
          <w:rFonts w:asciiTheme="majorBidi" w:hAnsiTheme="majorBidi" w:cstheme="majorBidi"/>
        </w:rPr>
      </w:pPr>
    </w:p>
    <w:p w14:paraId="35793CBA" w14:textId="18E99C9A" w:rsidR="006F15E9" w:rsidRPr="00D456D0" w:rsidRDefault="00E815CB" w:rsidP="005433F6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456D0">
        <w:rPr>
          <w:rFonts w:asciiTheme="majorBidi" w:hAnsiTheme="majorBidi" w:cstheme="majorBidi"/>
          <w:b/>
          <w:bCs/>
        </w:rPr>
        <w:t>2.</w:t>
      </w:r>
      <w:r w:rsidRPr="00D456D0">
        <w:rPr>
          <w:rFonts w:asciiTheme="majorBidi" w:hAnsiTheme="majorBidi" w:cstheme="majorBidi"/>
          <w:b/>
          <w:bCs/>
        </w:rPr>
        <w:tab/>
      </w:r>
      <w:r w:rsidR="00657A6A" w:rsidRPr="00D456D0">
        <w:rPr>
          <w:rFonts w:asciiTheme="majorBidi" w:hAnsiTheme="majorBidi" w:cstheme="majorBidi"/>
          <w:b/>
          <w:bCs/>
        </w:rPr>
        <w:t xml:space="preserve">Parental </w:t>
      </w:r>
      <w:r w:rsidR="00226CE7">
        <w:rPr>
          <w:rFonts w:asciiTheme="majorBidi" w:hAnsiTheme="majorBidi" w:cstheme="majorBidi"/>
          <w:b/>
          <w:bCs/>
        </w:rPr>
        <w:t>administered load</w:t>
      </w:r>
      <w:r w:rsidR="00226CE7" w:rsidRPr="00D456D0">
        <w:rPr>
          <w:rFonts w:asciiTheme="majorBidi" w:hAnsiTheme="majorBidi" w:cstheme="majorBidi"/>
          <w:b/>
          <w:bCs/>
        </w:rPr>
        <w:t xml:space="preserve"> </w:t>
      </w:r>
    </w:p>
    <w:p w14:paraId="56E73DA5" w14:textId="20D71812" w:rsidR="003B36B1" w:rsidRPr="00D456D0" w:rsidRDefault="003B36B1" w:rsidP="003B3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color w:val="000000"/>
        </w:rPr>
      </w:pPr>
    </w:p>
    <w:p w14:paraId="12239324" w14:textId="6279E31E" w:rsidR="0039220C" w:rsidRDefault="003778AC" w:rsidP="00A7582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Bidi" w:hAnsiTheme="majorBidi" w:cstheme="majorBidi"/>
          <w:color w:val="000000"/>
        </w:rPr>
      </w:pPr>
      <w:r w:rsidRPr="00712675">
        <w:rPr>
          <w:rFonts w:asciiTheme="majorBidi" w:hAnsiTheme="majorBidi" w:cstheme="majorBidi"/>
          <w:b/>
          <w:bCs/>
          <w:color w:val="000000"/>
        </w:rPr>
        <w:t xml:space="preserve">What </w:t>
      </w:r>
      <w:r w:rsidR="00A7582C" w:rsidRPr="00712675">
        <w:rPr>
          <w:rFonts w:asciiTheme="majorBidi" w:hAnsiTheme="majorBidi" w:cstheme="majorBidi"/>
          <w:b/>
          <w:bCs/>
          <w:color w:val="000000"/>
        </w:rPr>
        <w:t xml:space="preserve">it </w:t>
      </w:r>
      <w:r w:rsidRPr="00712675">
        <w:rPr>
          <w:rFonts w:asciiTheme="majorBidi" w:hAnsiTheme="majorBidi" w:cstheme="majorBidi"/>
          <w:b/>
          <w:bCs/>
          <w:color w:val="000000"/>
        </w:rPr>
        <w:t>is</w:t>
      </w:r>
      <w:r>
        <w:rPr>
          <w:rFonts w:asciiTheme="majorBidi" w:hAnsiTheme="majorBidi" w:cstheme="majorBidi"/>
          <w:color w:val="000000"/>
        </w:rPr>
        <w:t xml:space="preserve">. </w:t>
      </w:r>
      <w:r w:rsidR="0039220C" w:rsidRPr="00712675">
        <w:rPr>
          <w:rFonts w:asciiTheme="majorBidi" w:hAnsiTheme="majorBidi" w:cstheme="majorBidi"/>
          <w:color w:val="000000"/>
        </w:rPr>
        <w:t xml:space="preserve">If </w:t>
      </w:r>
      <w:r>
        <w:rPr>
          <w:rFonts w:asciiTheme="majorBidi" w:hAnsiTheme="majorBidi" w:cstheme="majorBidi"/>
          <w:color w:val="000000"/>
        </w:rPr>
        <w:t>a</w:t>
      </w:r>
      <w:r w:rsidRPr="00712675">
        <w:rPr>
          <w:rFonts w:asciiTheme="majorBidi" w:hAnsiTheme="majorBidi" w:cstheme="majorBidi"/>
          <w:color w:val="000000"/>
        </w:rPr>
        <w:t xml:space="preserve"> </w:t>
      </w:r>
      <w:r w:rsidR="0039220C" w:rsidRPr="00712675">
        <w:rPr>
          <w:rFonts w:asciiTheme="majorBidi" w:hAnsiTheme="majorBidi" w:cstheme="majorBidi"/>
          <w:color w:val="000000"/>
        </w:rPr>
        <w:t xml:space="preserve">faculty member is the primary caregiver, </w:t>
      </w:r>
      <w:r w:rsidR="009071CD" w:rsidRPr="00712675">
        <w:rPr>
          <w:rFonts w:asciiTheme="majorBidi" w:hAnsiTheme="majorBidi" w:cstheme="majorBidi"/>
          <w:color w:val="000000"/>
        </w:rPr>
        <w:t>s/</w:t>
      </w:r>
      <w:r w:rsidR="0039220C" w:rsidRPr="00712675">
        <w:rPr>
          <w:rFonts w:asciiTheme="majorBidi" w:hAnsiTheme="majorBidi" w:cstheme="majorBidi"/>
          <w:color w:val="000000"/>
        </w:rPr>
        <w:t xml:space="preserve">he </w:t>
      </w:r>
      <w:r w:rsidR="009071CD" w:rsidRPr="00712675">
        <w:rPr>
          <w:rFonts w:asciiTheme="majorBidi" w:hAnsiTheme="majorBidi" w:cstheme="majorBidi"/>
          <w:color w:val="000000"/>
        </w:rPr>
        <w:t>will be granted a one-</w:t>
      </w:r>
      <w:r w:rsidR="0039220C" w:rsidRPr="00712675">
        <w:rPr>
          <w:rFonts w:asciiTheme="majorBidi" w:hAnsiTheme="majorBidi" w:cstheme="majorBidi"/>
          <w:color w:val="000000"/>
        </w:rPr>
        <w:t xml:space="preserve">semester administered load that allows a choice of either partial or full relief from teaching and service during the semester of the birth or the adoption of a child under the age of five by the faculty member or immediately following the birth or adoption. </w:t>
      </w:r>
      <w:r w:rsidR="00744D2F" w:rsidRPr="00D456D0">
        <w:rPr>
          <w:rFonts w:asciiTheme="majorBidi" w:hAnsiTheme="majorBidi" w:cstheme="majorBidi"/>
          <w:color w:val="000000"/>
        </w:rPr>
        <w:t>UD ADVANCE recommends that all eligible faculty members take this accommodation before initiating other options (</w:t>
      </w:r>
      <w:r w:rsidR="00744D2F">
        <w:rPr>
          <w:rFonts w:asciiTheme="majorBidi" w:hAnsiTheme="majorBidi" w:cstheme="majorBidi"/>
          <w:color w:val="000000"/>
        </w:rPr>
        <w:t>e.g., F</w:t>
      </w:r>
      <w:r w:rsidR="00A371FE">
        <w:rPr>
          <w:rFonts w:asciiTheme="majorBidi" w:hAnsiTheme="majorBidi" w:cstheme="majorBidi"/>
          <w:color w:val="000000"/>
        </w:rPr>
        <w:t xml:space="preserve">amily and </w:t>
      </w:r>
      <w:r w:rsidR="00744D2F">
        <w:rPr>
          <w:rFonts w:asciiTheme="majorBidi" w:hAnsiTheme="majorBidi" w:cstheme="majorBidi"/>
          <w:color w:val="000000"/>
        </w:rPr>
        <w:t>M</w:t>
      </w:r>
      <w:r w:rsidR="00A371FE">
        <w:rPr>
          <w:rFonts w:asciiTheme="majorBidi" w:hAnsiTheme="majorBidi" w:cstheme="majorBidi"/>
          <w:color w:val="000000"/>
        </w:rPr>
        <w:t xml:space="preserve">edical </w:t>
      </w:r>
      <w:r w:rsidR="00744D2F">
        <w:rPr>
          <w:rFonts w:asciiTheme="majorBidi" w:hAnsiTheme="majorBidi" w:cstheme="majorBidi"/>
          <w:color w:val="000000"/>
        </w:rPr>
        <w:t>L</w:t>
      </w:r>
      <w:r w:rsidR="00A371FE">
        <w:rPr>
          <w:rFonts w:asciiTheme="majorBidi" w:hAnsiTheme="majorBidi" w:cstheme="majorBidi"/>
          <w:color w:val="000000"/>
        </w:rPr>
        <w:t xml:space="preserve">eave </w:t>
      </w:r>
      <w:r w:rsidR="00744D2F">
        <w:rPr>
          <w:rFonts w:asciiTheme="majorBidi" w:hAnsiTheme="majorBidi" w:cstheme="majorBidi"/>
          <w:color w:val="000000"/>
        </w:rPr>
        <w:t>A</w:t>
      </w:r>
      <w:r w:rsidR="00A371FE">
        <w:rPr>
          <w:rFonts w:asciiTheme="majorBidi" w:hAnsiTheme="majorBidi" w:cstheme="majorBidi"/>
          <w:color w:val="000000"/>
        </w:rPr>
        <w:t>ct</w:t>
      </w:r>
      <w:r w:rsidR="009047A7">
        <w:rPr>
          <w:rFonts w:asciiTheme="majorBidi" w:hAnsiTheme="majorBidi" w:cstheme="majorBidi"/>
          <w:color w:val="000000"/>
        </w:rPr>
        <w:t xml:space="preserve"> of 1993</w:t>
      </w:r>
      <w:r w:rsidR="00744D2F" w:rsidRPr="00D456D0">
        <w:rPr>
          <w:rFonts w:asciiTheme="majorBidi" w:hAnsiTheme="majorBidi" w:cstheme="majorBidi"/>
          <w:color w:val="000000"/>
        </w:rPr>
        <w:t>). Email ud-advance@udel.edu for more information.</w:t>
      </w:r>
    </w:p>
    <w:p w14:paraId="1FA5EE9E" w14:textId="603702EE" w:rsidR="005433F6" w:rsidRPr="00DA1697" w:rsidRDefault="005433F6" w:rsidP="005433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Bidi" w:hAnsiTheme="majorBidi" w:cstheme="majorBidi"/>
          <w:color w:val="000000"/>
        </w:rPr>
      </w:pPr>
      <w:r w:rsidRPr="00DA1697">
        <w:rPr>
          <w:rFonts w:asciiTheme="majorBidi" w:hAnsiTheme="majorBidi" w:cstheme="majorBidi"/>
          <w:b/>
          <w:bCs/>
          <w:color w:val="000000"/>
        </w:rPr>
        <w:t>For more information</w:t>
      </w:r>
      <w:r>
        <w:rPr>
          <w:rFonts w:asciiTheme="majorBidi" w:hAnsiTheme="majorBidi" w:cstheme="majorBidi"/>
          <w:color w:val="000000"/>
        </w:rPr>
        <w:t xml:space="preserve">. </w:t>
      </w:r>
      <w:r w:rsidRPr="00DA1697">
        <w:rPr>
          <w:rFonts w:asciiTheme="majorBidi" w:hAnsiTheme="majorBidi" w:cstheme="majorBidi"/>
          <w:color w:val="000000"/>
        </w:rPr>
        <w:t xml:space="preserve">See Faculty Handbook </w:t>
      </w:r>
      <w:hyperlink r:id="rId9" w:history="1">
        <w:r w:rsidRPr="005433F6">
          <w:rPr>
            <w:rStyle w:val="Hyperlink"/>
            <w:rFonts w:asciiTheme="majorBidi" w:hAnsiTheme="majorBidi" w:cstheme="majorBidi"/>
          </w:rPr>
          <w:t>Section 4.1.14.3</w:t>
        </w:r>
      </w:hyperlink>
      <w:r w:rsidRPr="00DA1697">
        <w:rPr>
          <w:rFonts w:asciiTheme="majorBidi" w:hAnsiTheme="majorBidi" w:cstheme="majorBidi"/>
          <w:color w:val="000000"/>
        </w:rPr>
        <w:t xml:space="preserve"> or </w:t>
      </w:r>
      <w:hyperlink r:id="rId10" w:history="1">
        <w:r w:rsidRPr="005433F6">
          <w:rPr>
            <w:rStyle w:val="Hyperlink"/>
            <w:rFonts w:asciiTheme="majorBidi" w:hAnsiTheme="majorBidi" w:cstheme="majorBidi"/>
          </w:rPr>
          <w:t>CBA 2016- 2021</w:t>
        </w:r>
      </w:hyperlink>
      <w:r w:rsidRPr="00DA1697">
        <w:rPr>
          <w:rFonts w:asciiTheme="majorBidi" w:hAnsiTheme="majorBidi" w:cstheme="majorBidi"/>
          <w:color w:val="000000"/>
        </w:rPr>
        <w:t xml:space="preserve">, Article 9.16 </w:t>
      </w:r>
    </w:p>
    <w:p w14:paraId="29260393" w14:textId="11A34089" w:rsidR="0022306C" w:rsidRDefault="0022306C">
      <w:pPr>
        <w:rPr>
          <w:rFonts w:asciiTheme="majorBidi" w:hAnsiTheme="majorBidi" w:cstheme="majorBidi"/>
          <w:b/>
          <w:bCs/>
          <w:color w:val="000000"/>
        </w:rPr>
      </w:pPr>
    </w:p>
    <w:p w14:paraId="7A59531B" w14:textId="0538277A" w:rsidR="00226CE7" w:rsidRPr="00712675" w:rsidRDefault="00226CE7" w:rsidP="0071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712675">
        <w:rPr>
          <w:rFonts w:asciiTheme="majorBidi" w:hAnsiTheme="majorBidi" w:cstheme="majorBidi"/>
          <w:b/>
          <w:bCs/>
          <w:color w:val="000000"/>
        </w:rPr>
        <w:lastRenderedPageBreak/>
        <w:t>Process</w:t>
      </w:r>
    </w:p>
    <w:p w14:paraId="72854DE2" w14:textId="549AB35D" w:rsidR="002F2369" w:rsidRPr="00D456D0" w:rsidRDefault="002F2369" w:rsidP="00712675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color w:val="000000"/>
        </w:rPr>
      </w:pPr>
      <w:bookmarkStart w:id="0" w:name="_Hlk45126260"/>
      <w:r w:rsidRPr="00D456D0">
        <w:rPr>
          <w:rFonts w:asciiTheme="majorBidi" w:hAnsiTheme="majorBidi" w:cstheme="majorBidi"/>
          <w:color w:val="000000"/>
        </w:rPr>
        <w:t xml:space="preserve">If possible, </w:t>
      </w:r>
      <w:r w:rsidR="00744D2F">
        <w:rPr>
          <w:rFonts w:asciiTheme="majorBidi" w:hAnsiTheme="majorBidi" w:cstheme="majorBidi"/>
          <w:color w:val="000000"/>
        </w:rPr>
        <w:t xml:space="preserve">a </w:t>
      </w:r>
      <w:r w:rsidRPr="00D456D0">
        <w:rPr>
          <w:rFonts w:asciiTheme="majorBidi" w:hAnsiTheme="majorBidi" w:cstheme="majorBidi"/>
          <w:color w:val="000000"/>
        </w:rPr>
        <w:t xml:space="preserve">faculty </w:t>
      </w:r>
      <w:r w:rsidR="00744D2F">
        <w:rPr>
          <w:rFonts w:asciiTheme="majorBidi" w:hAnsiTheme="majorBidi" w:cstheme="majorBidi"/>
          <w:color w:val="000000"/>
        </w:rPr>
        <w:t xml:space="preserve">member </w:t>
      </w:r>
      <w:r w:rsidRPr="00D456D0">
        <w:rPr>
          <w:rFonts w:asciiTheme="majorBidi" w:hAnsiTheme="majorBidi" w:cstheme="majorBidi"/>
          <w:color w:val="000000"/>
        </w:rPr>
        <w:t xml:space="preserve">requesting time off for reasons associated with childbirth or adoption must notify </w:t>
      </w:r>
      <w:r w:rsidR="00744D2F">
        <w:rPr>
          <w:rFonts w:asciiTheme="majorBidi" w:hAnsiTheme="majorBidi" w:cstheme="majorBidi"/>
          <w:color w:val="000000"/>
        </w:rPr>
        <w:t>her/his Department Chair</w:t>
      </w:r>
      <w:r w:rsidR="00744D2F" w:rsidRPr="00D456D0">
        <w:rPr>
          <w:rFonts w:asciiTheme="majorBidi" w:hAnsiTheme="majorBidi" w:cstheme="majorBidi"/>
          <w:color w:val="000000"/>
        </w:rPr>
        <w:t xml:space="preserve"> </w:t>
      </w:r>
      <w:r w:rsidRPr="00D456D0">
        <w:rPr>
          <w:rFonts w:asciiTheme="majorBidi" w:hAnsiTheme="majorBidi" w:cstheme="majorBidi"/>
          <w:color w:val="000000"/>
        </w:rPr>
        <w:t>three months prior to the anticipated date of the leave. </w:t>
      </w:r>
    </w:p>
    <w:bookmarkEnd w:id="0"/>
    <w:p w14:paraId="3B4F1FE1" w14:textId="3474E0FF" w:rsidR="0039220C" w:rsidRPr="00D456D0" w:rsidRDefault="0039220C" w:rsidP="00FE53A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color w:val="000000"/>
        </w:rPr>
      </w:pPr>
      <w:r w:rsidRPr="00D456D0">
        <w:rPr>
          <w:rFonts w:asciiTheme="majorBidi" w:hAnsiTheme="majorBidi" w:cstheme="majorBidi"/>
          <w:color w:val="000000"/>
        </w:rPr>
        <w:t xml:space="preserve">To request parental </w:t>
      </w:r>
      <w:r w:rsidR="00744D2F">
        <w:rPr>
          <w:rFonts w:asciiTheme="majorBidi" w:hAnsiTheme="majorBidi" w:cstheme="majorBidi"/>
          <w:color w:val="000000"/>
        </w:rPr>
        <w:t>administered load</w:t>
      </w:r>
      <w:r w:rsidRPr="00D456D0">
        <w:rPr>
          <w:rFonts w:asciiTheme="majorBidi" w:hAnsiTheme="majorBidi" w:cstheme="majorBidi"/>
          <w:color w:val="000000"/>
        </w:rPr>
        <w:t xml:space="preserve">, the faculty member should discuss with the Department </w:t>
      </w:r>
      <w:r w:rsidR="00744D2F">
        <w:rPr>
          <w:rFonts w:asciiTheme="majorBidi" w:hAnsiTheme="majorBidi" w:cstheme="majorBidi"/>
          <w:color w:val="000000"/>
        </w:rPr>
        <w:t>C</w:t>
      </w:r>
      <w:r w:rsidRPr="00D456D0">
        <w:rPr>
          <w:rFonts w:asciiTheme="majorBidi" w:hAnsiTheme="majorBidi" w:cstheme="majorBidi"/>
          <w:color w:val="000000"/>
        </w:rPr>
        <w:t xml:space="preserve">hair and together develop workload options that meet department and individual needs. </w:t>
      </w:r>
      <w:r w:rsidR="00744D2F">
        <w:rPr>
          <w:rFonts w:asciiTheme="majorBidi" w:hAnsiTheme="majorBidi" w:cstheme="majorBidi"/>
          <w:color w:val="000000"/>
        </w:rPr>
        <w:t xml:space="preserve">The faculty member </w:t>
      </w:r>
      <w:r w:rsidR="00B23B7B">
        <w:rPr>
          <w:rFonts w:asciiTheme="majorBidi" w:hAnsiTheme="majorBidi" w:cstheme="majorBidi"/>
          <w:color w:val="000000"/>
        </w:rPr>
        <w:t>must be granted</w:t>
      </w:r>
      <w:r w:rsidR="00744D2F">
        <w:rPr>
          <w:rFonts w:asciiTheme="majorBidi" w:hAnsiTheme="majorBidi" w:cstheme="majorBidi"/>
          <w:color w:val="000000"/>
        </w:rPr>
        <w:t xml:space="preserve"> one</w:t>
      </w:r>
      <w:r w:rsidR="00FE53A3">
        <w:rPr>
          <w:rFonts w:asciiTheme="majorBidi" w:hAnsiTheme="majorBidi" w:cstheme="majorBidi"/>
          <w:color w:val="000000"/>
        </w:rPr>
        <w:t xml:space="preserve"> </w:t>
      </w:r>
      <w:r w:rsidR="00744D2F">
        <w:rPr>
          <w:rFonts w:asciiTheme="majorBidi" w:hAnsiTheme="majorBidi" w:cstheme="majorBidi"/>
          <w:color w:val="000000"/>
        </w:rPr>
        <w:t xml:space="preserve">semester </w:t>
      </w:r>
      <w:r w:rsidR="00FE53A3">
        <w:rPr>
          <w:rFonts w:asciiTheme="majorBidi" w:hAnsiTheme="majorBidi" w:cstheme="majorBidi"/>
          <w:color w:val="000000"/>
        </w:rPr>
        <w:t xml:space="preserve">of </w:t>
      </w:r>
      <w:r w:rsidR="00744D2F">
        <w:rPr>
          <w:rFonts w:asciiTheme="majorBidi" w:hAnsiTheme="majorBidi" w:cstheme="majorBidi"/>
          <w:color w:val="000000"/>
        </w:rPr>
        <w:t>administered load as a minimum.</w:t>
      </w:r>
      <w:r w:rsidR="008774DC">
        <w:rPr>
          <w:rFonts w:asciiTheme="majorBidi" w:hAnsiTheme="majorBidi" w:cstheme="majorBidi"/>
          <w:color w:val="000000"/>
        </w:rPr>
        <w:t xml:space="preserve"> Anything beyond that is at the discretion of the Chair.</w:t>
      </w:r>
      <w:r w:rsidRPr="00D456D0">
        <w:rPr>
          <w:rFonts w:asciiTheme="majorBidi" w:hAnsiTheme="majorBidi" w:cstheme="majorBidi"/>
          <w:color w:val="000000"/>
        </w:rPr>
        <w:t xml:space="preserve"> </w:t>
      </w:r>
    </w:p>
    <w:p w14:paraId="0199E1AF" w14:textId="3EE5B21D" w:rsidR="0039220C" w:rsidRPr="006B0628" w:rsidRDefault="0039220C" w:rsidP="00712675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</w:rPr>
      </w:pPr>
      <w:r w:rsidRPr="00D456D0">
        <w:rPr>
          <w:rFonts w:asciiTheme="majorBidi" w:hAnsiTheme="majorBidi" w:cstheme="majorBidi"/>
          <w:color w:val="000000"/>
        </w:rPr>
        <w:t xml:space="preserve">The Department Chair and faculty member should both sign a memorandum of understanding </w:t>
      </w:r>
      <w:r w:rsidRPr="006B0628">
        <w:rPr>
          <w:rFonts w:asciiTheme="majorBidi" w:hAnsiTheme="majorBidi" w:cstheme="majorBidi"/>
        </w:rPr>
        <w:t xml:space="preserve">(MOU) defining the terms of the </w:t>
      </w:r>
      <w:r w:rsidR="00F02646" w:rsidRPr="006B0628">
        <w:rPr>
          <w:rFonts w:asciiTheme="majorBidi" w:hAnsiTheme="majorBidi" w:cstheme="majorBidi"/>
        </w:rPr>
        <w:t>leave and</w:t>
      </w:r>
      <w:r w:rsidRPr="006B0628">
        <w:rPr>
          <w:rFonts w:asciiTheme="majorBidi" w:hAnsiTheme="majorBidi" w:cstheme="majorBidi"/>
        </w:rPr>
        <w:t xml:space="preserve"> submit a copy to the Associa</w:t>
      </w:r>
      <w:r w:rsidR="002F2369" w:rsidRPr="006B0628">
        <w:rPr>
          <w:rFonts w:asciiTheme="majorBidi" w:hAnsiTheme="majorBidi" w:cstheme="majorBidi"/>
        </w:rPr>
        <w:t>t</w:t>
      </w:r>
      <w:r w:rsidRPr="006B0628">
        <w:rPr>
          <w:rFonts w:asciiTheme="majorBidi" w:hAnsiTheme="majorBidi" w:cstheme="majorBidi"/>
        </w:rPr>
        <w:t xml:space="preserve">e Dean for Academic Affairs (ADAA). An </w:t>
      </w:r>
      <w:hyperlink r:id="rId11" w:history="1">
        <w:r w:rsidRPr="000F38FC">
          <w:rPr>
            <w:rStyle w:val="Hyperlink"/>
            <w:rFonts w:asciiTheme="majorBidi" w:hAnsiTheme="majorBidi" w:cstheme="majorBidi"/>
          </w:rPr>
          <w:t>MOU template</w:t>
        </w:r>
      </w:hyperlink>
      <w:r w:rsidRPr="006B0628">
        <w:rPr>
          <w:rFonts w:asciiTheme="majorBidi" w:hAnsiTheme="majorBidi" w:cstheme="majorBidi"/>
        </w:rPr>
        <w:t xml:space="preserve"> is provided that may be used if desired. </w:t>
      </w:r>
    </w:p>
    <w:p w14:paraId="1289A576" w14:textId="097AD8A2" w:rsidR="00D456D0" w:rsidRPr="006B0628" w:rsidRDefault="00D456D0" w:rsidP="007C2D9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</w:rPr>
      </w:pPr>
      <w:r w:rsidRPr="006B0628">
        <w:rPr>
          <w:rFonts w:asciiTheme="majorBidi" w:eastAsia="Times New Roman" w:hAnsiTheme="majorBidi" w:cstheme="majorBidi"/>
        </w:rPr>
        <w:t xml:space="preserve">When both parents are faculty employed by the UD College of Engineering, </w:t>
      </w:r>
      <w:r w:rsidR="00744D2F" w:rsidRPr="006B0628">
        <w:rPr>
          <w:rFonts w:asciiTheme="majorBidi" w:eastAsia="Times New Roman" w:hAnsiTheme="majorBidi" w:cstheme="majorBidi"/>
        </w:rPr>
        <w:t xml:space="preserve">the Department Chair(s) must allow </w:t>
      </w:r>
      <w:r w:rsidRPr="006B0628">
        <w:rPr>
          <w:rFonts w:asciiTheme="majorBidi" w:eastAsia="Times New Roman" w:hAnsiTheme="majorBidi" w:cstheme="majorBidi"/>
        </w:rPr>
        <w:t xml:space="preserve">one (the primary caregiver) </w:t>
      </w:r>
      <w:r w:rsidR="00B23B7B" w:rsidRPr="006B0628">
        <w:rPr>
          <w:rFonts w:asciiTheme="majorBidi" w:eastAsia="Times New Roman" w:hAnsiTheme="majorBidi" w:cstheme="majorBidi"/>
        </w:rPr>
        <w:t xml:space="preserve">to </w:t>
      </w:r>
      <w:r w:rsidR="00744D2F" w:rsidRPr="006B0628">
        <w:rPr>
          <w:rFonts w:asciiTheme="majorBidi" w:eastAsia="Times New Roman" w:hAnsiTheme="majorBidi" w:cstheme="majorBidi"/>
        </w:rPr>
        <w:t xml:space="preserve">take administered load (anything beyond that is at the discretion of the Chair(s)). </w:t>
      </w:r>
      <w:r w:rsidR="005433F6" w:rsidRPr="006B0628">
        <w:rPr>
          <w:rFonts w:asciiTheme="majorBidi" w:eastAsia="Times New Roman" w:hAnsiTheme="majorBidi" w:cstheme="majorBidi"/>
        </w:rPr>
        <w:t>Both faculty members can stop the tenure clock (for TT) or review clock (for CT) if they are co-equal caregivers</w:t>
      </w:r>
      <w:r w:rsidRPr="006B0628">
        <w:rPr>
          <w:rFonts w:asciiTheme="majorBidi" w:eastAsia="Times New Roman" w:hAnsiTheme="majorBidi" w:cstheme="majorBidi"/>
        </w:rPr>
        <w:t>.</w:t>
      </w:r>
    </w:p>
    <w:p w14:paraId="7EF41CF3" w14:textId="77777777" w:rsidR="00404391" w:rsidRPr="00404391" w:rsidRDefault="00404391" w:rsidP="00E85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</w:rPr>
      </w:pPr>
    </w:p>
    <w:p w14:paraId="21FD5853" w14:textId="29834BB5" w:rsidR="00146FEA" w:rsidRPr="00D456D0" w:rsidRDefault="002F2369" w:rsidP="005433F6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456D0">
        <w:rPr>
          <w:rFonts w:asciiTheme="majorBidi" w:hAnsiTheme="majorBidi" w:cstheme="majorBidi"/>
          <w:b/>
          <w:bCs/>
        </w:rPr>
        <w:t>3.</w:t>
      </w:r>
      <w:r w:rsidRPr="00D456D0">
        <w:rPr>
          <w:rFonts w:asciiTheme="majorBidi" w:hAnsiTheme="majorBidi" w:cstheme="majorBidi"/>
          <w:b/>
          <w:bCs/>
        </w:rPr>
        <w:tab/>
      </w:r>
      <w:r w:rsidR="00146FEA" w:rsidRPr="00D456D0">
        <w:rPr>
          <w:rFonts w:asciiTheme="majorBidi" w:hAnsiTheme="majorBidi" w:cstheme="majorBidi"/>
          <w:b/>
          <w:bCs/>
        </w:rPr>
        <w:t xml:space="preserve">Stop the clock </w:t>
      </w:r>
      <w:r w:rsidR="00226CE7">
        <w:rPr>
          <w:rFonts w:asciiTheme="majorBidi" w:hAnsiTheme="majorBidi" w:cstheme="majorBidi"/>
          <w:b/>
          <w:bCs/>
        </w:rPr>
        <w:t>notification</w:t>
      </w:r>
    </w:p>
    <w:p w14:paraId="16E7F574" w14:textId="372FBCEF" w:rsidR="003778AC" w:rsidRDefault="003778AC" w:rsidP="0071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color w:val="000000"/>
        </w:rPr>
      </w:pPr>
    </w:p>
    <w:p w14:paraId="4335986D" w14:textId="1A9A6059" w:rsidR="003778AC" w:rsidRDefault="003778AC" w:rsidP="00A7582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Bidi" w:hAnsiTheme="majorBidi" w:cstheme="majorBidi"/>
          <w:color w:val="000000"/>
        </w:rPr>
      </w:pPr>
      <w:r w:rsidRPr="00712675">
        <w:rPr>
          <w:rFonts w:asciiTheme="majorBidi" w:hAnsiTheme="majorBidi" w:cstheme="majorBidi"/>
          <w:b/>
          <w:bCs/>
        </w:rPr>
        <w:t xml:space="preserve">What </w:t>
      </w:r>
      <w:r w:rsidR="00A7582C" w:rsidRPr="00712675">
        <w:rPr>
          <w:rFonts w:asciiTheme="majorBidi" w:hAnsiTheme="majorBidi" w:cstheme="majorBidi"/>
          <w:b/>
          <w:bCs/>
        </w:rPr>
        <w:t xml:space="preserve">it </w:t>
      </w:r>
      <w:r w:rsidRPr="00712675">
        <w:rPr>
          <w:rFonts w:asciiTheme="majorBidi" w:hAnsiTheme="majorBidi" w:cstheme="majorBidi"/>
          <w:b/>
          <w:bCs/>
        </w:rPr>
        <w:t>is</w:t>
      </w:r>
      <w:r>
        <w:rPr>
          <w:rFonts w:asciiTheme="majorBidi" w:hAnsiTheme="majorBidi" w:cstheme="majorBidi"/>
        </w:rPr>
        <w:t xml:space="preserve">. </w:t>
      </w:r>
      <w:r w:rsidRPr="00146FEA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six-year</w:t>
      </w:r>
      <w:r w:rsidRPr="00146FEA">
        <w:rPr>
          <w:rFonts w:asciiTheme="majorBidi" w:hAnsiTheme="majorBidi" w:cstheme="majorBidi"/>
        </w:rPr>
        <w:t xml:space="preserve"> probationary period shall be extended for one year upon a tenure-track </w:t>
      </w:r>
      <w:r>
        <w:rPr>
          <w:rFonts w:asciiTheme="majorBidi" w:hAnsiTheme="majorBidi" w:cstheme="majorBidi"/>
        </w:rPr>
        <w:t xml:space="preserve">(TT) faculty member submitting a “Stop the Tenure Clock” notification, or a continuing-track (CT) </w:t>
      </w:r>
      <w:r w:rsidRPr="00146FEA">
        <w:rPr>
          <w:rFonts w:asciiTheme="majorBidi" w:hAnsiTheme="majorBidi" w:cstheme="majorBidi"/>
        </w:rPr>
        <w:t xml:space="preserve">faculty member submitting a “Stop the </w:t>
      </w:r>
      <w:r>
        <w:rPr>
          <w:rFonts w:asciiTheme="majorBidi" w:hAnsiTheme="majorBidi" w:cstheme="majorBidi"/>
        </w:rPr>
        <w:t xml:space="preserve">Review </w:t>
      </w:r>
      <w:r w:rsidRPr="00146FEA">
        <w:rPr>
          <w:rFonts w:asciiTheme="majorBidi" w:hAnsiTheme="majorBidi" w:cstheme="majorBidi"/>
        </w:rPr>
        <w:t xml:space="preserve">Clock” </w:t>
      </w:r>
      <w:r>
        <w:rPr>
          <w:rFonts w:asciiTheme="majorBidi" w:hAnsiTheme="majorBidi" w:cstheme="majorBidi"/>
        </w:rPr>
        <w:t>notification</w:t>
      </w:r>
      <w:r w:rsidRPr="00146FEA">
        <w:rPr>
          <w:rFonts w:asciiTheme="majorBidi" w:hAnsiTheme="majorBidi" w:cstheme="majorBidi"/>
        </w:rPr>
        <w:t>.</w:t>
      </w:r>
      <w:r w:rsidRPr="003778AC">
        <w:rPr>
          <w:rFonts w:asciiTheme="majorBidi" w:hAnsiTheme="majorBidi" w:cstheme="majorBidi"/>
        </w:rPr>
        <w:t xml:space="preserve"> </w:t>
      </w:r>
      <w:r w:rsidRPr="00146FEA">
        <w:rPr>
          <w:rFonts w:asciiTheme="majorBidi" w:hAnsiTheme="majorBidi" w:cstheme="majorBidi"/>
        </w:rPr>
        <w:t xml:space="preserve">This policy applies to tenure-track </w:t>
      </w:r>
      <w:r>
        <w:rPr>
          <w:rFonts w:asciiTheme="majorBidi" w:hAnsiTheme="majorBidi" w:cstheme="majorBidi"/>
        </w:rPr>
        <w:t xml:space="preserve">and continuing-track </w:t>
      </w:r>
      <w:r w:rsidRPr="00146FEA">
        <w:rPr>
          <w:rFonts w:asciiTheme="majorBidi" w:hAnsiTheme="majorBidi" w:cstheme="majorBidi"/>
        </w:rPr>
        <w:t xml:space="preserve">faculty members who become the parent of a newborn or newly adopted child and is a primary or coequal caregiver of the child or who are granted a leave of absence pursuant to the Family and Medical Leave Act of 1993 for a period of at least one semester. In addition, a tenure-track </w:t>
      </w:r>
      <w:r>
        <w:rPr>
          <w:rFonts w:asciiTheme="majorBidi" w:hAnsiTheme="majorBidi" w:cstheme="majorBidi"/>
        </w:rPr>
        <w:t xml:space="preserve">or continuing-track </w:t>
      </w:r>
      <w:r w:rsidRPr="00146FEA">
        <w:rPr>
          <w:rFonts w:asciiTheme="majorBidi" w:hAnsiTheme="majorBidi" w:cstheme="majorBidi"/>
        </w:rPr>
        <w:t>faculty member may extend the probationary period for any reason approved by the appropriate chair/director and dean, for example illness of the faculty member or of his/her immediate family, but may do so only twice, resulting in no more than two one-year extensions of the probationary period.</w:t>
      </w:r>
      <w:r w:rsidR="005433F6" w:rsidRPr="005433F6">
        <w:rPr>
          <w:rFonts w:asciiTheme="majorBidi" w:hAnsiTheme="majorBidi" w:cstheme="majorBidi"/>
        </w:rPr>
        <w:t xml:space="preserve"> The faculty member will continue to perform faculty duties at full salary. A faculty member who extends the probationary period under this provision shall be reviewed for promotion and tenure (for TT) or contract renewal (for CT) under the same academic standards as a candidate who has not extended the probationary period. The candidate shall not be penalized in any way for requesting and receiving extensions of the probationary period, </w:t>
      </w:r>
      <w:proofErr w:type="gramStart"/>
      <w:r w:rsidR="005433F6" w:rsidRPr="005433F6">
        <w:rPr>
          <w:rFonts w:asciiTheme="majorBidi" w:hAnsiTheme="majorBidi" w:cstheme="majorBidi"/>
        </w:rPr>
        <w:t>whether or not</w:t>
      </w:r>
      <w:proofErr w:type="gramEnd"/>
      <w:r w:rsidR="005433F6" w:rsidRPr="005433F6">
        <w:rPr>
          <w:rFonts w:asciiTheme="majorBidi" w:hAnsiTheme="majorBidi" w:cstheme="majorBidi"/>
        </w:rPr>
        <w:t xml:space="preserve"> the additional time is used.</w:t>
      </w:r>
    </w:p>
    <w:p w14:paraId="790595D9" w14:textId="77777777" w:rsidR="005433F6" w:rsidRDefault="005433F6" w:rsidP="0071267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Bidi" w:hAnsiTheme="majorBidi" w:cstheme="majorBidi"/>
          <w:color w:val="000000"/>
        </w:rPr>
      </w:pPr>
      <w:r w:rsidRPr="00AF3728">
        <w:rPr>
          <w:rFonts w:asciiTheme="majorBidi" w:hAnsiTheme="majorBidi" w:cstheme="majorBidi"/>
          <w:b/>
          <w:bCs/>
          <w:color w:val="000000"/>
        </w:rPr>
        <w:t>For more information</w:t>
      </w:r>
      <w:r>
        <w:rPr>
          <w:rFonts w:asciiTheme="majorBidi" w:hAnsiTheme="majorBidi" w:cstheme="majorBidi"/>
          <w:color w:val="000000"/>
        </w:rPr>
        <w:t xml:space="preserve">. </w:t>
      </w:r>
      <w:r w:rsidRPr="005433F6">
        <w:rPr>
          <w:rFonts w:asciiTheme="majorBidi" w:hAnsiTheme="majorBidi" w:cstheme="majorBidi"/>
          <w:color w:val="000000"/>
        </w:rPr>
        <w:t xml:space="preserve">See Faculty Handbook </w:t>
      </w:r>
      <w:hyperlink r:id="rId12" w:history="1">
        <w:r w:rsidRPr="005433F6">
          <w:rPr>
            <w:rStyle w:val="Hyperlink"/>
            <w:rFonts w:asciiTheme="majorBidi" w:hAnsiTheme="majorBidi" w:cstheme="majorBidi"/>
          </w:rPr>
          <w:t>Section 4.4.15</w:t>
        </w:r>
      </w:hyperlink>
      <w:r w:rsidRPr="005433F6">
        <w:rPr>
          <w:rFonts w:asciiTheme="majorBidi" w:hAnsiTheme="majorBidi" w:cstheme="majorBidi"/>
          <w:color w:val="000000"/>
        </w:rPr>
        <w:t xml:space="preserve"> or </w:t>
      </w:r>
      <w:hyperlink r:id="rId13" w:history="1">
        <w:r w:rsidRPr="005433F6">
          <w:rPr>
            <w:rStyle w:val="Hyperlink"/>
            <w:rFonts w:asciiTheme="majorBidi" w:hAnsiTheme="majorBidi" w:cstheme="majorBidi"/>
          </w:rPr>
          <w:t>CBA 2016- 2021</w:t>
        </w:r>
      </w:hyperlink>
      <w:r w:rsidRPr="005433F6">
        <w:rPr>
          <w:rFonts w:asciiTheme="majorBidi" w:hAnsiTheme="majorBidi" w:cstheme="majorBidi"/>
          <w:color w:val="000000"/>
        </w:rPr>
        <w:t xml:space="preserve">, Article 9.5 (for tenure-track faculty) or Faculty Handbook </w:t>
      </w:r>
      <w:hyperlink r:id="rId14" w:history="1">
        <w:r w:rsidRPr="005433F6">
          <w:rPr>
            <w:rStyle w:val="Hyperlink"/>
            <w:rFonts w:asciiTheme="majorBidi" w:hAnsiTheme="majorBidi" w:cstheme="majorBidi"/>
          </w:rPr>
          <w:t>Section 4.1.6</w:t>
        </w:r>
      </w:hyperlink>
      <w:r w:rsidRPr="005433F6">
        <w:rPr>
          <w:rFonts w:asciiTheme="majorBidi" w:hAnsiTheme="majorBidi" w:cstheme="majorBidi"/>
          <w:color w:val="000000"/>
        </w:rPr>
        <w:t xml:space="preserve"> (for continuing track faculty).</w:t>
      </w:r>
    </w:p>
    <w:p w14:paraId="52ACEDF6" w14:textId="0A14CFAF" w:rsidR="00B23B7B" w:rsidRPr="00712675" w:rsidRDefault="00B23B7B" w:rsidP="00712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712675">
        <w:rPr>
          <w:rFonts w:asciiTheme="majorBidi" w:hAnsiTheme="majorBidi" w:cstheme="majorBidi"/>
          <w:b/>
          <w:bCs/>
          <w:color w:val="000000"/>
        </w:rPr>
        <w:t>Process</w:t>
      </w:r>
    </w:p>
    <w:p w14:paraId="7E6D3AFD" w14:textId="766A0259" w:rsidR="003778AC" w:rsidRPr="00B43833" w:rsidRDefault="003778AC" w:rsidP="00B4383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Theme="majorBidi" w:hAnsiTheme="majorBidi" w:cstheme="majorBidi"/>
        </w:rPr>
      </w:pPr>
      <w:r w:rsidRPr="006F4311">
        <w:rPr>
          <w:rFonts w:asciiTheme="majorBidi" w:hAnsiTheme="majorBidi" w:cstheme="majorBidi"/>
          <w:shd w:val="clear" w:color="auto" w:fill="FFFFFF"/>
        </w:rPr>
        <w:t>To stop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6F4311">
        <w:rPr>
          <w:rFonts w:asciiTheme="majorBidi" w:hAnsiTheme="majorBidi" w:cstheme="majorBidi"/>
          <w:shd w:val="clear" w:color="auto" w:fill="FFFFFF"/>
        </w:rPr>
        <w:t>the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6F4311">
        <w:rPr>
          <w:rFonts w:asciiTheme="majorBidi" w:hAnsiTheme="majorBidi" w:cstheme="majorBidi"/>
          <w:shd w:val="clear" w:color="auto" w:fill="FFFFFF"/>
        </w:rPr>
        <w:t>tenure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6F4311">
        <w:rPr>
          <w:rFonts w:asciiTheme="majorBidi" w:hAnsiTheme="majorBidi" w:cstheme="majorBidi"/>
          <w:shd w:val="clear" w:color="auto" w:fill="FFFFFF"/>
        </w:rPr>
        <w:t>clock</w:t>
      </w:r>
      <w:r w:rsidR="00B43833">
        <w:rPr>
          <w:rFonts w:asciiTheme="majorBidi" w:hAnsiTheme="majorBidi" w:cstheme="majorBidi"/>
          <w:shd w:val="clear" w:color="auto" w:fill="FFFFFF"/>
        </w:rPr>
        <w:t xml:space="preserve"> (for TT)</w:t>
      </w:r>
      <w:r w:rsidRPr="006F4311">
        <w:rPr>
          <w:rFonts w:asciiTheme="majorBidi" w:hAnsiTheme="majorBidi" w:cstheme="majorBidi"/>
          <w:shd w:val="clear" w:color="auto" w:fill="FFFFFF"/>
        </w:rPr>
        <w:t xml:space="preserve">, go to </w:t>
      </w:r>
      <w:hyperlink r:id="rId15" w:history="1">
        <w:r w:rsidRPr="006B0628">
          <w:rPr>
            <w:rStyle w:val="Hyperlink"/>
            <w:rFonts w:asciiTheme="majorBidi" w:hAnsiTheme="majorBidi" w:cstheme="majorBidi"/>
            <w:color w:val="0000FF"/>
            <w:shd w:val="clear" w:color="auto" w:fill="FFFFFF"/>
          </w:rPr>
          <w:t>webforms</w:t>
        </w:r>
      </w:hyperlink>
      <w:r w:rsidRPr="006F4311">
        <w:rPr>
          <w:rFonts w:asciiTheme="majorBidi" w:hAnsiTheme="majorBidi" w:cstheme="majorBidi"/>
          <w:shd w:val="clear" w:color="auto" w:fill="FFFFFF"/>
        </w:rPr>
        <w:t xml:space="preserve">. Click on the “Blanks” tab and </w:t>
      </w:r>
      <w:r>
        <w:rPr>
          <w:rFonts w:asciiTheme="majorBidi" w:hAnsiTheme="majorBidi" w:cstheme="majorBidi"/>
          <w:shd w:val="clear" w:color="auto" w:fill="FFFFFF"/>
        </w:rPr>
        <w:t>complete and submit</w:t>
      </w:r>
      <w:r w:rsidRPr="006F4311">
        <w:rPr>
          <w:rFonts w:asciiTheme="majorBidi" w:hAnsiTheme="majorBidi" w:cstheme="majorBidi"/>
          <w:shd w:val="clear" w:color="auto" w:fill="FFFFFF"/>
        </w:rPr>
        <w:t xml:space="preserve"> the “Stop the Tenure Clock” webform.</w:t>
      </w:r>
      <w:r w:rsidR="00B43833">
        <w:rPr>
          <w:rFonts w:asciiTheme="majorBidi" w:hAnsiTheme="majorBidi" w:cstheme="majorBidi"/>
          <w:shd w:val="clear" w:color="auto" w:fill="FFFFFF"/>
        </w:rPr>
        <w:t xml:space="preserve"> To stop the review clock (for CT), </w:t>
      </w:r>
      <w:r w:rsidR="00B43833">
        <w:rPr>
          <w:rFonts w:asciiTheme="majorBidi" w:hAnsiTheme="majorBidi" w:cstheme="majorBidi"/>
          <w:color w:val="201F1E"/>
          <w:shd w:val="clear" w:color="auto" w:fill="FFFFFF"/>
        </w:rPr>
        <w:t xml:space="preserve">write an email to </w:t>
      </w:r>
      <w:r w:rsidR="00B43833" w:rsidRPr="00B43833">
        <w:rPr>
          <w:rFonts w:asciiTheme="majorBidi" w:hAnsiTheme="majorBidi" w:cstheme="majorBidi"/>
          <w:color w:val="201F1E"/>
          <w:shd w:val="clear" w:color="auto" w:fill="FFFFFF"/>
        </w:rPr>
        <w:t>the Chair, Dean, and Provost</w:t>
      </w:r>
      <w:r w:rsidR="00B43833">
        <w:rPr>
          <w:rFonts w:asciiTheme="majorBidi" w:hAnsiTheme="majorBidi" w:cstheme="majorBidi"/>
          <w:color w:val="201F1E"/>
          <w:shd w:val="clear" w:color="auto" w:fill="FFFFFF"/>
        </w:rPr>
        <w:t xml:space="preserve"> notifying them that you are stopping the review clock as provided in the </w:t>
      </w:r>
      <w:r w:rsidR="00B43833" w:rsidRPr="005433F6">
        <w:rPr>
          <w:rFonts w:asciiTheme="majorBidi" w:hAnsiTheme="majorBidi" w:cstheme="majorBidi"/>
          <w:color w:val="000000"/>
        </w:rPr>
        <w:t xml:space="preserve">Faculty Handbook </w:t>
      </w:r>
      <w:hyperlink r:id="rId16" w:history="1">
        <w:r w:rsidR="00B43833" w:rsidRPr="006C0ED8">
          <w:rPr>
            <w:rStyle w:val="Hyperlink"/>
            <w:rFonts w:asciiTheme="majorBidi" w:hAnsiTheme="majorBidi" w:cstheme="majorBidi"/>
          </w:rPr>
          <w:t>Section 4.1.6</w:t>
        </w:r>
      </w:hyperlink>
      <w:r w:rsidR="00B43833">
        <w:rPr>
          <w:rFonts w:asciiTheme="majorBidi" w:hAnsiTheme="majorBidi" w:cstheme="majorBidi"/>
          <w:color w:val="201F1E"/>
          <w:shd w:val="clear" w:color="auto" w:fill="FFFFFF"/>
        </w:rPr>
        <w:t>.</w:t>
      </w:r>
    </w:p>
    <w:p w14:paraId="6693AD56" w14:textId="6218C61E" w:rsidR="00146FEA" w:rsidRPr="00712675" w:rsidRDefault="00146FEA" w:rsidP="00712675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Theme="majorBidi" w:hAnsiTheme="majorBidi" w:cstheme="majorBidi"/>
        </w:rPr>
      </w:pPr>
      <w:r w:rsidRPr="00712675">
        <w:rPr>
          <w:rFonts w:asciiTheme="majorBidi" w:hAnsiTheme="majorBidi" w:cstheme="majorBidi"/>
        </w:rPr>
        <w:t xml:space="preserve">The </w:t>
      </w:r>
      <w:r w:rsidR="003778AC" w:rsidRPr="00712675">
        <w:rPr>
          <w:rFonts w:asciiTheme="majorBidi" w:hAnsiTheme="majorBidi" w:cstheme="majorBidi"/>
        </w:rPr>
        <w:t xml:space="preserve">notification </w:t>
      </w:r>
      <w:r w:rsidRPr="00712675">
        <w:rPr>
          <w:rFonts w:asciiTheme="majorBidi" w:hAnsiTheme="majorBidi" w:cstheme="majorBidi"/>
        </w:rPr>
        <w:t xml:space="preserve">must be </w:t>
      </w:r>
      <w:r w:rsidR="003778AC" w:rsidRPr="00712675">
        <w:rPr>
          <w:rFonts w:asciiTheme="majorBidi" w:hAnsiTheme="majorBidi" w:cstheme="majorBidi"/>
        </w:rPr>
        <w:t xml:space="preserve">submitted </w:t>
      </w:r>
      <w:r w:rsidRPr="00712675">
        <w:rPr>
          <w:rFonts w:asciiTheme="majorBidi" w:hAnsiTheme="majorBidi" w:cstheme="majorBidi"/>
        </w:rPr>
        <w:t xml:space="preserve">within one calendar year of the birth or adoption of the child or of the commencement of the FMLA leave. </w:t>
      </w:r>
    </w:p>
    <w:p w14:paraId="5ACDCAB6" w14:textId="55941FBC" w:rsidR="00146FEA" w:rsidRPr="005433F6" w:rsidRDefault="00146FEA" w:rsidP="005433F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22"/>
          <w:szCs w:val="22"/>
        </w:rPr>
      </w:pPr>
      <w:r w:rsidRPr="005433F6">
        <w:rPr>
          <w:rFonts w:asciiTheme="majorBidi" w:hAnsiTheme="majorBidi" w:cstheme="majorBidi"/>
          <w:sz w:val="22"/>
          <w:szCs w:val="22"/>
        </w:rPr>
        <w:t xml:space="preserve">Extension of the probationary period does not affect the faculty member’s right to apply for tenure </w:t>
      </w:r>
      <w:r w:rsidR="00224D38" w:rsidRPr="005433F6">
        <w:rPr>
          <w:rFonts w:asciiTheme="majorBidi" w:hAnsiTheme="majorBidi" w:cstheme="majorBidi"/>
          <w:sz w:val="22"/>
          <w:szCs w:val="22"/>
        </w:rPr>
        <w:t xml:space="preserve">(for TT) or contract renewal (for CT) </w:t>
      </w:r>
      <w:r w:rsidRPr="005433F6">
        <w:rPr>
          <w:rFonts w:asciiTheme="majorBidi" w:hAnsiTheme="majorBidi" w:cstheme="majorBidi"/>
          <w:sz w:val="22"/>
          <w:szCs w:val="22"/>
        </w:rPr>
        <w:t xml:space="preserve">prior to the terminal year, regardless of time in rank. </w:t>
      </w:r>
    </w:p>
    <w:p w14:paraId="23E69A3C" w14:textId="43759277" w:rsidR="00146FEA" w:rsidRPr="00224D38" w:rsidRDefault="00146FEA" w:rsidP="00224D38">
      <w:pPr>
        <w:pStyle w:val="NormalWe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22"/>
          <w:szCs w:val="22"/>
        </w:rPr>
      </w:pPr>
      <w:r w:rsidRPr="00146FEA">
        <w:rPr>
          <w:rFonts w:asciiTheme="majorBidi" w:hAnsiTheme="majorBidi" w:cstheme="majorBidi"/>
          <w:sz w:val="22"/>
          <w:szCs w:val="22"/>
        </w:rPr>
        <w:t xml:space="preserve">Stopping the clock for one year postpones any subsequent second-year </w:t>
      </w:r>
      <w:r w:rsidR="00224D38">
        <w:rPr>
          <w:rFonts w:asciiTheme="majorBidi" w:hAnsiTheme="majorBidi" w:cstheme="majorBidi"/>
          <w:sz w:val="22"/>
          <w:szCs w:val="22"/>
        </w:rPr>
        <w:t xml:space="preserve">or </w:t>
      </w:r>
      <w:r w:rsidRPr="00146FEA">
        <w:rPr>
          <w:rFonts w:asciiTheme="majorBidi" w:hAnsiTheme="majorBidi" w:cstheme="majorBidi"/>
          <w:sz w:val="22"/>
          <w:szCs w:val="22"/>
        </w:rPr>
        <w:t>fourth-year review</w:t>
      </w:r>
      <w:r w:rsidR="00224D38">
        <w:rPr>
          <w:rFonts w:asciiTheme="majorBidi" w:hAnsiTheme="majorBidi" w:cstheme="majorBidi"/>
          <w:sz w:val="22"/>
          <w:szCs w:val="22"/>
        </w:rPr>
        <w:t>. For tenure-track faculty, it also postpones</w:t>
      </w:r>
      <w:r w:rsidRPr="00146FEA">
        <w:rPr>
          <w:rFonts w:asciiTheme="majorBidi" w:hAnsiTheme="majorBidi" w:cstheme="majorBidi"/>
          <w:sz w:val="22"/>
          <w:szCs w:val="22"/>
        </w:rPr>
        <w:t xml:space="preserve"> eligibility for a junior faculty research l</w:t>
      </w:r>
      <w:r w:rsidRPr="00224D38">
        <w:rPr>
          <w:rFonts w:asciiTheme="majorBidi" w:hAnsiTheme="majorBidi" w:cstheme="majorBidi"/>
          <w:sz w:val="22"/>
          <w:szCs w:val="22"/>
        </w:rPr>
        <w:t>eave for one year.</w:t>
      </w:r>
    </w:p>
    <w:p w14:paraId="60B7BBC6" w14:textId="43E90EF6" w:rsidR="00146FEA" w:rsidRPr="00224D38" w:rsidRDefault="003778AC" w:rsidP="005433F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</w:rPr>
      </w:pPr>
      <w:r w:rsidRPr="00804BCB">
        <w:rPr>
          <w:rFonts w:asciiTheme="majorBidi" w:eastAsia="Times New Roman" w:hAnsiTheme="majorBidi" w:cstheme="majorBidi"/>
          <w:color w:val="201F1E"/>
        </w:rPr>
        <w:t xml:space="preserve">When both parents are faculty employed by the UD College of Engineering, </w:t>
      </w:r>
      <w:r>
        <w:rPr>
          <w:rFonts w:asciiTheme="majorBidi" w:eastAsia="Times New Roman" w:hAnsiTheme="majorBidi" w:cstheme="majorBidi"/>
          <w:color w:val="201F1E"/>
        </w:rPr>
        <w:t xml:space="preserve">the Department Chair(s) must allow </w:t>
      </w:r>
      <w:r w:rsidRPr="00804BCB">
        <w:rPr>
          <w:rFonts w:asciiTheme="majorBidi" w:eastAsia="Times New Roman" w:hAnsiTheme="majorBidi" w:cstheme="majorBidi"/>
          <w:color w:val="201F1E"/>
        </w:rPr>
        <w:t xml:space="preserve">one (the primary caregiver) </w:t>
      </w:r>
      <w:r>
        <w:rPr>
          <w:rFonts w:asciiTheme="majorBidi" w:eastAsia="Times New Roman" w:hAnsiTheme="majorBidi" w:cstheme="majorBidi"/>
          <w:color w:val="201F1E"/>
        </w:rPr>
        <w:t xml:space="preserve">to </w:t>
      </w:r>
      <w:r w:rsidRPr="00804BCB">
        <w:rPr>
          <w:rFonts w:asciiTheme="majorBidi" w:eastAsia="Times New Roman" w:hAnsiTheme="majorBidi" w:cstheme="majorBidi"/>
          <w:color w:val="201F1E"/>
        </w:rPr>
        <w:t>take administered load</w:t>
      </w:r>
      <w:r>
        <w:rPr>
          <w:rFonts w:asciiTheme="majorBidi" w:eastAsia="Times New Roman" w:hAnsiTheme="majorBidi" w:cstheme="majorBidi"/>
          <w:color w:val="201F1E"/>
        </w:rPr>
        <w:t xml:space="preserve"> (anything beyond that is at the discretion of the Chair(s)).</w:t>
      </w:r>
      <w:r w:rsidRPr="00804BCB">
        <w:rPr>
          <w:rFonts w:asciiTheme="majorBidi" w:eastAsia="Times New Roman" w:hAnsiTheme="majorBidi" w:cstheme="majorBidi"/>
          <w:color w:val="201F1E"/>
        </w:rPr>
        <w:t xml:space="preserve"> </w:t>
      </w:r>
      <w:r>
        <w:rPr>
          <w:rFonts w:asciiTheme="majorBidi" w:eastAsia="Times New Roman" w:hAnsiTheme="majorBidi" w:cstheme="majorBidi"/>
          <w:color w:val="201F1E"/>
        </w:rPr>
        <w:t>B</w:t>
      </w:r>
      <w:r w:rsidRPr="00804BCB">
        <w:rPr>
          <w:rFonts w:asciiTheme="majorBidi" w:eastAsia="Times New Roman" w:hAnsiTheme="majorBidi" w:cstheme="majorBidi"/>
          <w:color w:val="201F1E"/>
        </w:rPr>
        <w:t xml:space="preserve">oth </w:t>
      </w:r>
      <w:r>
        <w:rPr>
          <w:rFonts w:asciiTheme="majorBidi" w:eastAsia="Times New Roman" w:hAnsiTheme="majorBidi" w:cstheme="majorBidi"/>
          <w:color w:val="201F1E"/>
        </w:rPr>
        <w:t xml:space="preserve">faculty members </w:t>
      </w:r>
      <w:r w:rsidRPr="00804BCB">
        <w:rPr>
          <w:rFonts w:asciiTheme="majorBidi" w:eastAsia="Times New Roman" w:hAnsiTheme="majorBidi" w:cstheme="majorBidi"/>
          <w:color w:val="201F1E"/>
        </w:rPr>
        <w:t>can stop the tenure</w:t>
      </w:r>
      <w:r w:rsidR="005433F6">
        <w:rPr>
          <w:rFonts w:asciiTheme="majorBidi" w:eastAsia="Times New Roman" w:hAnsiTheme="majorBidi" w:cstheme="majorBidi"/>
          <w:color w:val="201F1E"/>
        </w:rPr>
        <w:t xml:space="preserve"> clock (for TT) or review clock (for CT)</w:t>
      </w:r>
      <w:r w:rsidRPr="00804BCB">
        <w:rPr>
          <w:rFonts w:asciiTheme="majorBidi" w:eastAsia="Times New Roman" w:hAnsiTheme="majorBidi" w:cstheme="majorBidi"/>
          <w:color w:val="201F1E"/>
        </w:rPr>
        <w:t xml:space="preserve"> if they are co-equal caregivers.</w:t>
      </w:r>
      <w:r w:rsidR="00146FEA" w:rsidRPr="00224D38">
        <w:rPr>
          <w:rFonts w:asciiTheme="majorBidi" w:eastAsia="Times New Roman" w:hAnsiTheme="majorBidi" w:cstheme="majorBidi"/>
        </w:rPr>
        <w:t> </w:t>
      </w:r>
    </w:p>
    <w:p w14:paraId="52B19A40" w14:textId="1FB84508" w:rsidR="002F2369" w:rsidRPr="00D456D0" w:rsidRDefault="002F2369" w:rsidP="002F2369">
      <w:pPr>
        <w:spacing w:after="0" w:line="240" w:lineRule="auto"/>
        <w:rPr>
          <w:rFonts w:asciiTheme="majorBidi" w:hAnsiTheme="majorBidi" w:cstheme="majorBidi"/>
          <w:b/>
          <w:bCs/>
        </w:rPr>
      </w:pPr>
      <w:bookmarkStart w:id="1" w:name="_Hlk45125366"/>
      <w:r w:rsidRPr="00D456D0">
        <w:rPr>
          <w:rFonts w:asciiTheme="majorBidi" w:hAnsiTheme="majorBidi" w:cstheme="majorBidi"/>
          <w:b/>
          <w:bCs/>
        </w:rPr>
        <w:lastRenderedPageBreak/>
        <w:t>4.</w:t>
      </w:r>
      <w:r w:rsidRPr="00D456D0">
        <w:rPr>
          <w:rFonts w:asciiTheme="majorBidi" w:hAnsiTheme="majorBidi" w:cstheme="majorBidi"/>
          <w:b/>
          <w:bCs/>
        </w:rPr>
        <w:tab/>
        <w:t xml:space="preserve">Research semester </w:t>
      </w:r>
      <w:r w:rsidR="009071CD">
        <w:rPr>
          <w:rFonts w:asciiTheme="majorBidi" w:hAnsiTheme="majorBidi" w:cstheme="majorBidi"/>
          <w:b/>
          <w:bCs/>
        </w:rPr>
        <w:t>leave</w:t>
      </w:r>
    </w:p>
    <w:p w14:paraId="05D1673D" w14:textId="77777777" w:rsidR="002F2369" w:rsidRPr="00D456D0" w:rsidRDefault="002F2369" w:rsidP="002F2369">
      <w:pPr>
        <w:spacing w:after="0" w:line="240" w:lineRule="auto"/>
        <w:rPr>
          <w:rFonts w:asciiTheme="majorBidi" w:hAnsiTheme="majorBidi" w:cstheme="majorBidi"/>
        </w:rPr>
      </w:pPr>
    </w:p>
    <w:p w14:paraId="10D4A7F1" w14:textId="7AC1E2A0" w:rsidR="00E6431A" w:rsidRDefault="00E6431A" w:rsidP="00A7582C">
      <w:pPr>
        <w:spacing w:after="12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What </w:t>
      </w:r>
      <w:r w:rsidR="00A7582C">
        <w:rPr>
          <w:rFonts w:asciiTheme="majorBidi" w:hAnsiTheme="majorBidi" w:cstheme="majorBidi"/>
          <w:b/>
          <w:bCs/>
        </w:rPr>
        <w:t xml:space="preserve">it </w:t>
      </w:r>
      <w:r>
        <w:rPr>
          <w:rFonts w:asciiTheme="majorBidi" w:hAnsiTheme="majorBidi" w:cstheme="majorBidi"/>
          <w:b/>
          <w:bCs/>
        </w:rPr>
        <w:t xml:space="preserve">is. </w:t>
      </w:r>
      <w:r w:rsidRPr="00D456D0">
        <w:rPr>
          <w:rFonts w:asciiTheme="majorBidi" w:hAnsiTheme="majorBidi" w:cstheme="majorBidi"/>
          <w:color w:val="000000"/>
          <w:shd w:val="clear" w:color="auto" w:fill="FFFFFF"/>
        </w:rPr>
        <w:t>To assist with their professional development and their progress towards promotion and tenure, tenure-track Assistant Professors are eligible for a semester at full pay devoted to research and scholarship during the third or fifth year of probationary period of service.</w:t>
      </w:r>
      <w:r w:rsidRPr="00E6431A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D456D0">
        <w:rPr>
          <w:rFonts w:asciiTheme="majorBidi" w:hAnsiTheme="majorBidi" w:cstheme="majorBidi"/>
          <w:color w:val="000000"/>
          <w:shd w:val="clear" w:color="auto" w:fill="FFFFFF"/>
        </w:rPr>
        <w:t>This research/scholarship semester counts as part of six-year probationary period for purposes of promotion and tenure.</w:t>
      </w:r>
    </w:p>
    <w:p w14:paraId="27355FA5" w14:textId="52FE269D" w:rsidR="00E6431A" w:rsidRPr="00712675" w:rsidRDefault="00E6431A" w:rsidP="00712675">
      <w:pPr>
        <w:spacing w:after="120"/>
      </w:pPr>
      <w:r w:rsidRPr="00712675">
        <w:rPr>
          <w:rFonts w:asciiTheme="majorBidi" w:hAnsiTheme="majorBidi" w:cstheme="majorBidi"/>
          <w:b/>
          <w:bCs/>
        </w:rPr>
        <w:t>For more information</w:t>
      </w:r>
      <w:r>
        <w:rPr>
          <w:rFonts w:asciiTheme="majorBidi" w:hAnsiTheme="majorBidi" w:cstheme="majorBidi"/>
        </w:rPr>
        <w:t xml:space="preserve">. </w:t>
      </w:r>
      <w:r w:rsidR="002F2369" w:rsidRPr="00E6431A">
        <w:rPr>
          <w:rFonts w:asciiTheme="majorBidi" w:hAnsiTheme="majorBidi" w:cstheme="majorBidi"/>
        </w:rPr>
        <w:t xml:space="preserve">See Faculty Handbook </w:t>
      </w:r>
      <w:hyperlink r:id="rId17" w:history="1">
        <w:r w:rsidR="002F2369" w:rsidRPr="00E6431A">
          <w:rPr>
            <w:rStyle w:val="Hyperlink"/>
            <w:rFonts w:asciiTheme="majorBidi" w:hAnsiTheme="majorBidi" w:cstheme="majorBidi"/>
          </w:rPr>
          <w:t>Section 4.1.14.</w:t>
        </w:r>
      </w:hyperlink>
      <w:r w:rsidR="002F2369" w:rsidRPr="00E6431A">
        <w:rPr>
          <w:rStyle w:val="Hyperlink"/>
          <w:rFonts w:asciiTheme="majorBidi" w:hAnsiTheme="majorBidi" w:cstheme="majorBidi"/>
        </w:rPr>
        <w:t>6</w:t>
      </w:r>
      <w:r w:rsidR="002F2369" w:rsidRPr="00E6431A">
        <w:rPr>
          <w:rFonts w:asciiTheme="majorBidi" w:hAnsiTheme="majorBidi" w:cstheme="majorBidi"/>
        </w:rPr>
        <w:t xml:space="preserve"> </w:t>
      </w:r>
    </w:p>
    <w:p w14:paraId="0097EB59" w14:textId="7B1C468C" w:rsidR="009F358D" w:rsidRPr="00712675" w:rsidRDefault="00E6431A" w:rsidP="00712675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712675">
        <w:rPr>
          <w:rFonts w:asciiTheme="majorBidi" w:hAnsiTheme="majorBidi" w:cstheme="majorBidi"/>
          <w:b/>
          <w:bCs/>
          <w:color w:val="000000"/>
          <w:shd w:val="clear" w:color="auto" w:fill="FFFFFF"/>
        </w:rPr>
        <w:t>Process</w:t>
      </w:r>
    </w:p>
    <w:p w14:paraId="6EFA6236" w14:textId="06ED7235" w:rsidR="00E6431A" w:rsidRPr="00712675" w:rsidRDefault="00E6431A" w:rsidP="009846F7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Bidi" w:hAnsiTheme="majorBidi" w:cstheme="majorBidi"/>
        </w:rPr>
      </w:pPr>
      <w:r w:rsidRPr="00D456D0">
        <w:rPr>
          <w:rFonts w:asciiTheme="majorBidi" w:hAnsiTheme="majorBidi" w:cstheme="majorBidi"/>
          <w:color w:val="000000"/>
          <w:shd w:val="clear" w:color="auto" w:fill="FFFFFF"/>
        </w:rPr>
        <w:t xml:space="preserve">Assistant Professors must apply to their Department Chairs for the research/scholarship </w:t>
      </w:r>
      <w:r w:rsidR="009846F7">
        <w:rPr>
          <w:rFonts w:asciiTheme="majorBidi" w:hAnsiTheme="majorBidi" w:cstheme="majorBidi"/>
          <w:color w:val="000000"/>
          <w:shd w:val="clear" w:color="auto" w:fill="FFFFFF"/>
        </w:rPr>
        <w:t>semester no later than January 1</w:t>
      </w:r>
      <w:r w:rsidR="009846F7" w:rsidRPr="009846F7">
        <w:rPr>
          <w:rFonts w:asciiTheme="majorBidi" w:hAnsiTheme="majorBidi" w:cstheme="majorBidi"/>
          <w:color w:val="000000"/>
          <w:shd w:val="clear" w:color="auto" w:fill="FFFFFF"/>
          <w:vertAlign w:val="superscript"/>
        </w:rPr>
        <w:t>st</w:t>
      </w:r>
      <w:r w:rsidR="009846F7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D456D0">
        <w:rPr>
          <w:rFonts w:asciiTheme="majorBidi" w:hAnsiTheme="majorBidi" w:cstheme="majorBidi"/>
          <w:color w:val="000000"/>
          <w:shd w:val="clear" w:color="auto" w:fill="FFFFFF"/>
        </w:rPr>
        <w:t>of the second full year of service for a third year research semester and the fourth full year of service for a fifth year research semester.</w:t>
      </w:r>
    </w:p>
    <w:p w14:paraId="09CD9C45" w14:textId="644CBCF8" w:rsidR="009F358D" w:rsidRPr="00D456D0" w:rsidRDefault="009F358D" w:rsidP="0071267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Bidi" w:hAnsiTheme="majorBidi" w:cstheme="majorBidi"/>
        </w:rPr>
      </w:pPr>
      <w:r w:rsidRPr="00D456D0">
        <w:rPr>
          <w:rFonts w:asciiTheme="majorBidi" w:hAnsiTheme="majorBidi" w:cstheme="majorBidi"/>
          <w:color w:val="000000"/>
          <w:shd w:val="clear" w:color="auto" w:fill="FFFFFF"/>
        </w:rPr>
        <w:t>The faculty member should discuss the request to the Department Chair first</w:t>
      </w:r>
      <w:r w:rsidRPr="00D456D0">
        <w:rPr>
          <w:rFonts w:asciiTheme="majorBidi" w:hAnsiTheme="majorBidi" w:cstheme="majorBidi"/>
        </w:rPr>
        <w:t>. </w:t>
      </w:r>
    </w:p>
    <w:p w14:paraId="23E1147D" w14:textId="16DDACD3" w:rsidR="009B3C12" w:rsidRPr="00D456D0" w:rsidRDefault="009F358D" w:rsidP="0071267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Bidi" w:hAnsiTheme="majorBidi" w:cstheme="majorBidi"/>
        </w:rPr>
      </w:pPr>
      <w:r w:rsidRPr="00D456D0">
        <w:rPr>
          <w:rFonts w:asciiTheme="majorBidi" w:hAnsiTheme="majorBidi" w:cstheme="majorBidi"/>
          <w:color w:val="000000"/>
          <w:shd w:val="clear" w:color="auto" w:fill="FFFFFF"/>
        </w:rPr>
        <w:t xml:space="preserve">The faculty member should then submit a “Sabbatical Leave Request” webform as in #1 above, indicating request for a one-semester leave at 100% pay. The request should include </w:t>
      </w:r>
      <w:r w:rsidRPr="00D456D0">
        <w:rPr>
          <w:rFonts w:asciiTheme="majorBidi" w:hAnsiTheme="majorBidi" w:cstheme="majorBidi"/>
        </w:rPr>
        <w:t>a detailed proposal describing the work to be conducted during the semester and demonstrating the direct significance of that work to meeting the promotion and tenure criteria of the unit.</w:t>
      </w:r>
    </w:p>
    <w:p w14:paraId="4ED7BCA9" w14:textId="6546160D" w:rsidR="009F358D" w:rsidRPr="00D456D0" w:rsidRDefault="009F358D" w:rsidP="0071267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Bidi" w:hAnsiTheme="majorBidi" w:cstheme="majorBidi"/>
        </w:rPr>
      </w:pPr>
      <w:r w:rsidRPr="00D456D0">
        <w:rPr>
          <w:rFonts w:asciiTheme="majorBidi" w:hAnsiTheme="majorBidi" w:cstheme="majorBidi"/>
        </w:rPr>
        <w:t xml:space="preserve">If/when approving the request, the Department Chair will note the staffing plans to meet </w:t>
      </w:r>
      <w:r w:rsidRPr="00D456D0">
        <w:rPr>
          <w:rFonts w:asciiTheme="majorBidi" w:hAnsiTheme="majorBidi" w:cstheme="majorBidi"/>
          <w:color w:val="000000"/>
          <w:shd w:val="clear" w:color="auto" w:fill="FFFFFF"/>
        </w:rPr>
        <w:t>the instructional needs from which the Assistant Professor will be released.</w:t>
      </w:r>
    </w:p>
    <w:p w14:paraId="01645E6E" w14:textId="446B5D16" w:rsidR="009B3C12" w:rsidRPr="00D456D0" w:rsidRDefault="009B3C12" w:rsidP="0071267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Bidi" w:hAnsiTheme="majorBidi" w:cstheme="majorBidi"/>
        </w:rPr>
      </w:pPr>
      <w:r w:rsidRPr="00D456D0">
        <w:rPr>
          <w:rFonts w:asciiTheme="majorBidi" w:hAnsiTheme="majorBidi" w:cstheme="majorBidi"/>
        </w:rPr>
        <w:t xml:space="preserve">Approval of each application requires the positive recommendation of the Chair and the </w:t>
      </w:r>
      <w:r w:rsidR="009F358D" w:rsidRPr="00D456D0">
        <w:rPr>
          <w:rFonts w:asciiTheme="majorBidi" w:hAnsiTheme="majorBidi" w:cstheme="majorBidi"/>
        </w:rPr>
        <w:t>Dean</w:t>
      </w:r>
      <w:r w:rsidRPr="00D456D0">
        <w:rPr>
          <w:rFonts w:asciiTheme="majorBidi" w:hAnsiTheme="majorBidi" w:cstheme="majorBidi"/>
        </w:rPr>
        <w:t xml:space="preserve"> and a copy sent to the Provost.</w:t>
      </w:r>
    </w:p>
    <w:bookmarkEnd w:id="1"/>
    <w:p w14:paraId="02777A65" w14:textId="7BD10E3C" w:rsidR="002F2369" w:rsidRDefault="002F2369" w:rsidP="009B3C12">
      <w:pPr>
        <w:spacing w:after="0" w:line="240" w:lineRule="auto"/>
        <w:rPr>
          <w:rFonts w:asciiTheme="majorBidi" w:hAnsiTheme="majorBidi" w:cstheme="majorBidi"/>
        </w:rPr>
      </w:pPr>
    </w:p>
    <w:p w14:paraId="5CFACDCA" w14:textId="3391FF3F" w:rsidR="002C007B" w:rsidRPr="00D456D0" w:rsidRDefault="002C007B" w:rsidP="002C007B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5</w:t>
      </w:r>
      <w:r w:rsidRPr="00D456D0">
        <w:rPr>
          <w:rFonts w:asciiTheme="majorBidi" w:hAnsiTheme="majorBidi" w:cstheme="majorBidi"/>
          <w:b/>
          <w:bCs/>
        </w:rPr>
        <w:t>.</w:t>
      </w:r>
      <w:r w:rsidRPr="00D456D0">
        <w:rPr>
          <w:rFonts w:asciiTheme="majorBidi" w:hAnsiTheme="majorBidi" w:cstheme="majorBidi"/>
          <w:b/>
          <w:bCs/>
        </w:rPr>
        <w:tab/>
      </w:r>
      <w:r w:rsidR="00B224A0">
        <w:rPr>
          <w:rFonts w:asciiTheme="majorBidi" w:hAnsiTheme="majorBidi" w:cstheme="majorBidi"/>
          <w:b/>
          <w:bCs/>
        </w:rPr>
        <w:t>Miscellaneous u</w:t>
      </w:r>
      <w:r>
        <w:rPr>
          <w:rFonts w:asciiTheme="majorBidi" w:hAnsiTheme="majorBidi" w:cstheme="majorBidi"/>
          <w:b/>
          <w:bCs/>
        </w:rPr>
        <w:t>npaid</w:t>
      </w:r>
      <w:r w:rsidRPr="00D456D0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leave</w:t>
      </w:r>
    </w:p>
    <w:p w14:paraId="1CB5AB68" w14:textId="77777777" w:rsidR="002C007B" w:rsidRPr="00D456D0" w:rsidRDefault="002C007B" w:rsidP="002C007B">
      <w:pPr>
        <w:spacing w:after="0" w:line="240" w:lineRule="auto"/>
        <w:rPr>
          <w:rFonts w:asciiTheme="majorBidi" w:hAnsiTheme="majorBidi" w:cstheme="majorBidi"/>
        </w:rPr>
      </w:pPr>
    </w:p>
    <w:p w14:paraId="5495F876" w14:textId="5EB425F7" w:rsidR="002C007B" w:rsidRPr="00D456D0" w:rsidRDefault="002C007B" w:rsidP="002C007B">
      <w:pPr>
        <w:spacing w:after="120" w:line="240" w:lineRule="auto"/>
      </w:pPr>
      <w:r>
        <w:rPr>
          <w:rFonts w:asciiTheme="majorBidi" w:hAnsiTheme="majorBidi" w:cstheme="majorBidi"/>
          <w:b/>
          <w:bCs/>
        </w:rPr>
        <w:t xml:space="preserve">What it is. </w:t>
      </w:r>
      <w:r w:rsidRPr="00F22937">
        <w:rPr>
          <w:rFonts w:asciiTheme="majorBidi" w:hAnsiTheme="majorBidi" w:cstheme="majorBidi"/>
        </w:rPr>
        <w:t xml:space="preserve">On submission of an appropriate work plan, </w:t>
      </w:r>
      <w:r>
        <w:rPr>
          <w:rFonts w:asciiTheme="majorBidi" w:hAnsiTheme="majorBidi" w:cstheme="majorBidi"/>
        </w:rPr>
        <w:t>unpaid</w:t>
      </w:r>
      <w:r w:rsidRPr="00F22937">
        <w:rPr>
          <w:rFonts w:asciiTheme="majorBidi" w:hAnsiTheme="majorBidi" w:cstheme="majorBidi"/>
        </w:rPr>
        <w:t xml:space="preserve"> leave may be granted to </w:t>
      </w:r>
      <w:r w:rsidRPr="00F22937">
        <w:rPr>
          <w:rFonts w:asciiTheme="majorBidi" w:hAnsiTheme="majorBidi" w:cstheme="majorBidi"/>
          <w:color w:val="000000"/>
          <w:shd w:val="clear" w:color="auto" w:fill="FFFFFF"/>
        </w:rPr>
        <w:t>full-time tenure-track or tenured assistant, associate, and full professors; to full-time, continuing track faculty; and to administrators holding academic rank</w:t>
      </w:r>
      <w:r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14:paraId="67BC0AA3" w14:textId="754ABF78" w:rsidR="002C007B" w:rsidRPr="00712675" w:rsidRDefault="002C007B" w:rsidP="002C007B">
      <w:pPr>
        <w:spacing w:after="120" w:line="240" w:lineRule="auto"/>
      </w:pPr>
      <w:r w:rsidRPr="00712675">
        <w:rPr>
          <w:rFonts w:asciiTheme="majorBidi" w:hAnsiTheme="majorBidi" w:cstheme="majorBidi"/>
          <w:b/>
          <w:bCs/>
        </w:rPr>
        <w:t>For more information</w:t>
      </w:r>
      <w:r>
        <w:rPr>
          <w:rFonts w:asciiTheme="majorBidi" w:hAnsiTheme="majorBidi" w:cstheme="majorBidi"/>
        </w:rPr>
        <w:t xml:space="preserve">. </w:t>
      </w:r>
      <w:r w:rsidRPr="00E6431A">
        <w:rPr>
          <w:rFonts w:asciiTheme="majorBidi" w:hAnsiTheme="majorBidi" w:cstheme="majorBidi"/>
        </w:rPr>
        <w:t>See Faculty Handbook</w:t>
      </w:r>
      <w:r>
        <w:rPr>
          <w:rFonts w:asciiTheme="majorBidi" w:hAnsiTheme="majorBidi" w:cstheme="majorBidi"/>
        </w:rPr>
        <w:t xml:space="preserve"> </w:t>
      </w:r>
      <w:hyperlink r:id="rId18" w:history="1">
        <w:r w:rsidRPr="002C007B">
          <w:rPr>
            <w:rStyle w:val="Hyperlink"/>
            <w:rFonts w:asciiTheme="majorBidi" w:hAnsiTheme="majorBidi" w:cstheme="majorBidi"/>
          </w:rPr>
          <w:t>Section 4.1.14</w:t>
        </w:r>
      </w:hyperlink>
    </w:p>
    <w:p w14:paraId="33F0F0A0" w14:textId="77777777" w:rsidR="002C007B" w:rsidRPr="00712675" w:rsidRDefault="002C007B" w:rsidP="002C007B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712675">
        <w:rPr>
          <w:rFonts w:asciiTheme="majorBidi" w:hAnsiTheme="majorBidi" w:cstheme="majorBidi"/>
          <w:b/>
          <w:bCs/>
          <w:color w:val="000000"/>
          <w:shd w:val="clear" w:color="auto" w:fill="FFFFFF"/>
        </w:rPr>
        <w:t>Process</w:t>
      </w:r>
    </w:p>
    <w:p w14:paraId="0400AB52" w14:textId="0665C3CD" w:rsidR="00C24316" w:rsidRPr="00C24316" w:rsidRDefault="00C24316" w:rsidP="00C2431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000000"/>
          <w:shd w:val="clear" w:color="auto" w:fill="FFFFFF"/>
        </w:rPr>
      </w:pPr>
      <w:r w:rsidRPr="00C24316">
        <w:rPr>
          <w:rFonts w:asciiTheme="majorBidi" w:hAnsiTheme="majorBidi" w:cstheme="majorBidi"/>
          <w:color w:val="000000"/>
          <w:shd w:val="clear" w:color="auto" w:fill="FFFFFF"/>
        </w:rPr>
        <w:t>If possible, a faculty member requesting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2B07E7">
        <w:rPr>
          <w:rFonts w:asciiTheme="majorBidi" w:hAnsiTheme="majorBidi" w:cstheme="majorBidi"/>
          <w:color w:val="000000"/>
          <w:shd w:val="clear" w:color="auto" w:fill="FFFFFF"/>
        </w:rPr>
        <w:t xml:space="preserve">extended </w:t>
      </w:r>
      <w:r>
        <w:rPr>
          <w:rFonts w:asciiTheme="majorBidi" w:hAnsiTheme="majorBidi" w:cstheme="majorBidi"/>
          <w:color w:val="000000"/>
          <w:shd w:val="clear" w:color="auto" w:fill="FFFFFF"/>
        </w:rPr>
        <w:t>unpaid</w:t>
      </w:r>
      <w:r w:rsidRPr="00C24316">
        <w:rPr>
          <w:rFonts w:asciiTheme="majorBidi" w:hAnsiTheme="majorBidi" w:cstheme="majorBidi"/>
          <w:color w:val="000000"/>
          <w:shd w:val="clear" w:color="auto" w:fill="FFFFFF"/>
        </w:rPr>
        <w:t xml:space="preserve"> time off must notify her/his Department Chair three months prior to the anticipated date of the leave. </w:t>
      </w:r>
    </w:p>
    <w:p w14:paraId="4CF382D1" w14:textId="02F9E051" w:rsidR="00C24316" w:rsidRPr="00C24316" w:rsidRDefault="00C24316" w:rsidP="002C007B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Faculty member writes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 a letter to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her/his Department Chair 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explaining what </w:t>
      </w:r>
      <w:r>
        <w:rPr>
          <w:rFonts w:asciiTheme="majorBidi" w:hAnsiTheme="majorBidi" w:cstheme="majorBidi"/>
          <w:color w:val="000000"/>
          <w:shd w:val="clear" w:color="auto" w:fill="FFFFFF"/>
        </w:rPr>
        <w:t>s/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he wants to do and why. An important piece of it is showing that </w:t>
      </w:r>
      <w:r>
        <w:rPr>
          <w:rFonts w:asciiTheme="majorBidi" w:hAnsiTheme="majorBidi" w:cstheme="majorBidi"/>
          <w:color w:val="000000"/>
          <w:shd w:val="clear" w:color="auto" w:fill="FFFFFF"/>
        </w:rPr>
        <w:t>her/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his plan provides “real intellectual advancement” as noted in </w:t>
      </w:r>
      <w:r w:rsidR="009E59F5">
        <w:rPr>
          <w:rFonts w:asciiTheme="majorBidi" w:hAnsiTheme="majorBidi" w:cstheme="majorBidi"/>
          <w:color w:val="000000"/>
          <w:shd w:val="clear" w:color="auto" w:fill="FFFFFF"/>
        </w:rPr>
        <w:t>S</w:t>
      </w:r>
      <w:r>
        <w:rPr>
          <w:rFonts w:asciiTheme="majorBidi" w:hAnsiTheme="majorBidi" w:cstheme="majorBidi"/>
          <w:color w:val="000000"/>
          <w:shd w:val="clear" w:color="auto" w:fill="FFFFFF"/>
        </w:rPr>
        <w:t>ection 4.1.14 of the Faculty Handbook.</w:t>
      </w:r>
    </w:p>
    <w:p w14:paraId="0E2248B8" w14:textId="151C7B7D" w:rsidR="002B07E7" w:rsidRPr="00C24316" w:rsidRDefault="00C24316" w:rsidP="002C007B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Department Chair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 write</w:t>
      </w:r>
      <w:r>
        <w:rPr>
          <w:rFonts w:asciiTheme="majorBidi" w:hAnsiTheme="majorBidi" w:cstheme="majorBidi"/>
          <w:color w:val="000000"/>
          <w:shd w:val="clear" w:color="auto" w:fill="FFFFFF"/>
        </w:rPr>
        <w:t>s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 a letter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to the Dean 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indicating </w:t>
      </w:r>
      <w:r>
        <w:rPr>
          <w:rFonts w:asciiTheme="majorBidi" w:hAnsiTheme="majorBidi" w:cstheme="majorBidi"/>
          <w:color w:val="000000"/>
          <w:shd w:val="clear" w:color="auto" w:fill="FFFFFF"/>
        </w:rPr>
        <w:t>her/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his support (or not). </w:t>
      </w:r>
    </w:p>
    <w:p w14:paraId="0760C1E6" w14:textId="1200C3B5" w:rsidR="002C007B" w:rsidRPr="005A7895" w:rsidRDefault="002C007B" w:rsidP="002B07E7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A7895">
        <w:rPr>
          <w:rFonts w:asciiTheme="majorBidi" w:hAnsiTheme="majorBidi" w:cstheme="majorBidi"/>
          <w:color w:val="000000"/>
          <w:shd w:val="clear" w:color="auto" w:fill="FFFFFF"/>
        </w:rPr>
        <w:t xml:space="preserve">In addition, </w:t>
      </w:r>
      <w:r w:rsidR="00B66D67" w:rsidRPr="005A7895">
        <w:rPr>
          <w:rFonts w:asciiTheme="majorBidi" w:hAnsiTheme="majorBidi" w:cstheme="majorBidi"/>
          <w:color w:val="000000"/>
          <w:shd w:val="clear" w:color="auto" w:fill="FFFFFF"/>
        </w:rPr>
        <w:t xml:space="preserve">the </w:t>
      </w:r>
      <w:r w:rsidR="00C24316" w:rsidRPr="005A7895">
        <w:rPr>
          <w:rFonts w:asciiTheme="majorBidi" w:hAnsiTheme="majorBidi" w:cstheme="majorBidi"/>
          <w:color w:val="000000"/>
          <w:shd w:val="clear" w:color="auto" w:fill="FFFFFF"/>
        </w:rPr>
        <w:t>faculty member</w:t>
      </w:r>
      <w:r w:rsidRPr="005A7895">
        <w:rPr>
          <w:rFonts w:asciiTheme="majorBidi" w:hAnsiTheme="majorBidi" w:cstheme="majorBidi"/>
          <w:color w:val="000000"/>
          <w:shd w:val="clear" w:color="auto" w:fill="FFFFFF"/>
        </w:rPr>
        <w:t xml:space="preserve"> and </w:t>
      </w:r>
      <w:r w:rsidR="00C24316" w:rsidRPr="005A7895">
        <w:rPr>
          <w:rFonts w:asciiTheme="majorBidi" w:hAnsiTheme="majorBidi" w:cstheme="majorBidi"/>
          <w:color w:val="000000"/>
          <w:shd w:val="clear" w:color="auto" w:fill="FFFFFF"/>
        </w:rPr>
        <w:t>Department Chair</w:t>
      </w:r>
      <w:r w:rsidRPr="002B07E7">
        <w:rPr>
          <w:rFonts w:asciiTheme="majorBidi" w:hAnsiTheme="majorBidi" w:cstheme="majorBidi"/>
          <w:color w:val="000000"/>
          <w:shd w:val="clear" w:color="auto" w:fill="FFFFFF"/>
        </w:rPr>
        <w:t xml:space="preserve"> should draft an </w:t>
      </w:r>
      <w:hyperlink r:id="rId19" w:history="1">
        <w:r w:rsidRPr="00404391">
          <w:rPr>
            <w:rStyle w:val="Hyperlink"/>
            <w:rFonts w:asciiTheme="majorBidi" w:hAnsiTheme="majorBidi" w:cstheme="majorBidi"/>
            <w:shd w:val="clear" w:color="auto" w:fill="FFFFFF"/>
          </w:rPr>
          <w:t>MOU</w:t>
        </w:r>
      </w:hyperlink>
      <w:r w:rsidRPr="005A7895">
        <w:rPr>
          <w:rFonts w:asciiTheme="majorBidi" w:hAnsiTheme="majorBidi" w:cstheme="majorBidi"/>
          <w:color w:val="000000"/>
          <w:shd w:val="clear" w:color="auto" w:fill="FFFFFF"/>
        </w:rPr>
        <w:t xml:space="preserve"> that outlines a mutually-agreed-upon plan for the terms of the leave, so expectations are clear. </w:t>
      </w:r>
      <w:r w:rsidR="002B07E7" w:rsidRPr="005A7895">
        <w:rPr>
          <w:rFonts w:asciiTheme="majorBidi" w:hAnsiTheme="majorBidi" w:cstheme="majorBidi"/>
          <w:color w:val="000000"/>
          <w:shd w:val="clear" w:color="auto" w:fill="FFFFFF"/>
        </w:rPr>
        <w:t xml:space="preserve">The template provided includes </w:t>
      </w:r>
      <w:proofErr w:type="gramStart"/>
      <w:r w:rsidR="002B07E7" w:rsidRPr="005A7895">
        <w:rPr>
          <w:rFonts w:asciiTheme="majorBidi" w:hAnsiTheme="majorBidi" w:cstheme="majorBidi"/>
          <w:color w:val="000000"/>
          <w:shd w:val="clear" w:color="auto" w:fill="FFFFFF"/>
        </w:rPr>
        <w:t>a number of</w:t>
      </w:r>
      <w:proofErr w:type="gramEnd"/>
      <w:r w:rsidR="002B07E7" w:rsidRPr="005A7895">
        <w:rPr>
          <w:rFonts w:asciiTheme="majorBidi" w:hAnsiTheme="majorBidi" w:cstheme="majorBidi"/>
          <w:color w:val="000000"/>
          <w:shd w:val="clear" w:color="auto" w:fill="FFFFFF"/>
        </w:rPr>
        <w:t xml:space="preserve"> topi</w:t>
      </w:r>
      <w:r w:rsidR="002B07E7" w:rsidRPr="002B07E7">
        <w:rPr>
          <w:rFonts w:asciiTheme="majorBidi" w:hAnsiTheme="majorBidi" w:cstheme="majorBidi"/>
          <w:color w:val="000000"/>
          <w:shd w:val="clear" w:color="auto" w:fill="FFFFFF"/>
        </w:rPr>
        <w:t>cs the MOU should address.</w:t>
      </w:r>
      <w:r w:rsidR="002B07E7" w:rsidRPr="005A789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A7895">
        <w:rPr>
          <w:rFonts w:ascii="Times New Roman" w:hAnsi="Times New Roman" w:cs="Times New Roman"/>
          <w:shd w:val="clear" w:color="auto" w:fill="FFFFFF"/>
        </w:rPr>
        <w:t xml:space="preserve">The MOU should be signed by </w:t>
      </w:r>
      <w:r w:rsidR="00B66D67" w:rsidRPr="005A7895">
        <w:rPr>
          <w:rFonts w:ascii="Times New Roman" w:hAnsi="Times New Roman" w:cs="Times New Roman"/>
          <w:shd w:val="clear" w:color="auto" w:fill="FFFFFF"/>
        </w:rPr>
        <w:t>the faculty member</w:t>
      </w:r>
      <w:r w:rsidR="002B07E7">
        <w:rPr>
          <w:rFonts w:ascii="Times New Roman" w:hAnsi="Times New Roman" w:cs="Times New Roman"/>
          <w:shd w:val="clear" w:color="auto" w:fill="FFFFFF"/>
        </w:rPr>
        <w:t xml:space="preserve"> and</w:t>
      </w:r>
      <w:r w:rsidR="00B66D67" w:rsidRPr="005A7895">
        <w:rPr>
          <w:rFonts w:ascii="Times New Roman" w:hAnsi="Times New Roman" w:cs="Times New Roman"/>
          <w:shd w:val="clear" w:color="auto" w:fill="FFFFFF"/>
        </w:rPr>
        <w:t xml:space="preserve"> Department Chair</w:t>
      </w:r>
      <w:r w:rsidRPr="005A7895">
        <w:rPr>
          <w:rFonts w:ascii="Times New Roman" w:hAnsi="Times New Roman" w:cs="Times New Roman"/>
          <w:shd w:val="clear" w:color="auto" w:fill="FFFFFF"/>
        </w:rPr>
        <w:t>.</w:t>
      </w:r>
    </w:p>
    <w:p w14:paraId="368217E0" w14:textId="1468B1C8" w:rsidR="003316FF" w:rsidRPr="003316FF" w:rsidRDefault="00B66D67" w:rsidP="002C007B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The </w:t>
      </w:r>
      <w:r w:rsidR="009E59F5">
        <w:rPr>
          <w:rFonts w:asciiTheme="majorBidi" w:hAnsiTheme="majorBidi" w:cstheme="majorBidi"/>
          <w:color w:val="000000"/>
          <w:shd w:val="clear" w:color="auto" w:fill="FFFFFF"/>
        </w:rPr>
        <w:t xml:space="preserve">Department Chair sends the </w:t>
      </w:r>
      <w:r>
        <w:rPr>
          <w:rFonts w:asciiTheme="majorBidi" w:hAnsiTheme="majorBidi" w:cstheme="majorBidi"/>
          <w:color w:val="000000"/>
          <w:shd w:val="clear" w:color="auto" w:fill="FFFFFF"/>
        </w:rPr>
        <w:t>faculty member</w:t>
      </w:r>
      <w:r w:rsidR="003316FF">
        <w:rPr>
          <w:rFonts w:asciiTheme="majorBidi" w:hAnsiTheme="majorBidi" w:cstheme="majorBidi"/>
          <w:color w:val="000000"/>
          <w:shd w:val="clear" w:color="auto" w:fill="FFFFFF"/>
        </w:rPr>
        <w:t>’s</w:t>
      </w:r>
      <w:r w:rsidR="002B07E7">
        <w:rPr>
          <w:rFonts w:asciiTheme="majorBidi" w:hAnsiTheme="majorBidi" w:cstheme="majorBidi"/>
          <w:color w:val="000000"/>
          <w:shd w:val="clear" w:color="auto" w:fill="FFFFFF"/>
        </w:rPr>
        <w:t xml:space="preserve"> letter,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9E59F5">
        <w:rPr>
          <w:rFonts w:asciiTheme="majorBidi" w:hAnsiTheme="majorBidi" w:cstheme="majorBidi"/>
          <w:color w:val="000000"/>
          <w:shd w:val="clear" w:color="auto" w:fill="FFFFFF"/>
        </w:rPr>
        <w:t xml:space="preserve">the </w:t>
      </w:r>
      <w:r>
        <w:rPr>
          <w:rFonts w:asciiTheme="majorBidi" w:hAnsiTheme="majorBidi" w:cstheme="majorBidi"/>
          <w:color w:val="000000"/>
          <w:shd w:val="clear" w:color="auto" w:fill="FFFFFF"/>
        </w:rPr>
        <w:t>Chair’s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 letter</w:t>
      </w:r>
      <w:r w:rsidR="002B07E7">
        <w:rPr>
          <w:rFonts w:asciiTheme="majorBidi" w:hAnsiTheme="majorBidi" w:cstheme="majorBidi"/>
          <w:color w:val="000000"/>
          <w:shd w:val="clear" w:color="auto" w:fill="FFFFFF"/>
        </w:rPr>
        <w:t>,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 and </w:t>
      </w:r>
      <w:r w:rsidR="009E59F5">
        <w:rPr>
          <w:rFonts w:asciiTheme="majorBidi" w:hAnsiTheme="majorBidi" w:cstheme="majorBidi"/>
          <w:color w:val="000000"/>
          <w:shd w:val="clear" w:color="auto" w:fill="FFFFFF"/>
        </w:rPr>
        <w:t xml:space="preserve">the 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MOU </w:t>
      </w:r>
      <w:r>
        <w:rPr>
          <w:rFonts w:asciiTheme="majorBidi" w:hAnsiTheme="majorBidi" w:cstheme="majorBidi"/>
          <w:color w:val="000000"/>
          <w:shd w:val="clear" w:color="auto" w:fill="FFFFFF"/>
        </w:rPr>
        <w:t>to the ADAA for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 review. </w:t>
      </w:r>
    </w:p>
    <w:p w14:paraId="47254085" w14:textId="583E2479" w:rsidR="003316FF" w:rsidRPr="003316FF" w:rsidRDefault="003316FF" w:rsidP="002C007B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ADAA </w:t>
      </w:r>
      <w:r w:rsidR="009E59F5">
        <w:rPr>
          <w:rFonts w:asciiTheme="majorBidi" w:hAnsiTheme="majorBidi" w:cstheme="majorBidi"/>
          <w:color w:val="000000"/>
          <w:shd w:val="clear" w:color="auto" w:fill="FFFFFF"/>
        </w:rPr>
        <w:t xml:space="preserve">reviews, then </w:t>
      </w:r>
      <w:r>
        <w:rPr>
          <w:rFonts w:asciiTheme="majorBidi" w:hAnsiTheme="majorBidi" w:cstheme="majorBidi"/>
          <w:color w:val="000000"/>
          <w:shd w:val="clear" w:color="auto" w:fill="FFFFFF"/>
        </w:rPr>
        <w:t>forward</w:t>
      </w:r>
      <w:r w:rsidR="009E59F5">
        <w:rPr>
          <w:rFonts w:asciiTheme="majorBidi" w:hAnsiTheme="majorBidi" w:cstheme="majorBidi"/>
          <w:color w:val="000000"/>
          <w:shd w:val="clear" w:color="auto" w:fill="FFFFFF"/>
        </w:rPr>
        <w:t>s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the </w:t>
      </w:r>
      <w:r w:rsidR="002B07E7">
        <w:rPr>
          <w:rFonts w:asciiTheme="majorBidi" w:hAnsiTheme="majorBidi" w:cstheme="majorBidi"/>
          <w:color w:val="000000"/>
          <w:shd w:val="clear" w:color="auto" w:fill="FFFFFF"/>
        </w:rPr>
        <w:t>three items</w:t>
      </w:r>
      <w:r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to the Dean.  </w:t>
      </w:r>
    </w:p>
    <w:p w14:paraId="1E1C1FC4" w14:textId="130FE22A" w:rsidR="002C007B" w:rsidRPr="002C007B" w:rsidRDefault="003316FF" w:rsidP="002C007B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If approved, the Dean </w:t>
      </w:r>
      <w:r w:rsidR="002B07E7">
        <w:rPr>
          <w:rFonts w:asciiTheme="majorBidi" w:hAnsiTheme="majorBidi" w:cstheme="majorBidi"/>
          <w:color w:val="000000"/>
          <w:shd w:val="clear" w:color="auto" w:fill="FFFFFF"/>
        </w:rPr>
        <w:t>add</w:t>
      </w:r>
      <w:r w:rsidR="009E59F5">
        <w:rPr>
          <w:rFonts w:asciiTheme="majorBidi" w:hAnsiTheme="majorBidi" w:cstheme="majorBidi"/>
          <w:color w:val="000000"/>
          <w:shd w:val="clear" w:color="auto" w:fill="FFFFFF"/>
        </w:rPr>
        <w:t>s</w:t>
      </w:r>
      <w:r w:rsidR="002B07E7">
        <w:rPr>
          <w:rFonts w:asciiTheme="majorBidi" w:hAnsiTheme="majorBidi" w:cstheme="majorBidi"/>
          <w:color w:val="000000"/>
          <w:shd w:val="clear" w:color="auto" w:fill="FFFFFF"/>
        </w:rPr>
        <w:t xml:space="preserve"> his signature to the MOU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and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 send to the Provost and President with his</w:t>
      </w:r>
      <w:r w:rsidR="002B07E7">
        <w:rPr>
          <w:rFonts w:asciiTheme="majorBidi" w:hAnsiTheme="majorBidi" w:cstheme="majorBidi"/>
          <w:color w:val="000000"/>
          <w:shd w:val="clear" w:color="auto" w:fill="FFFFFF"/>
        </w:rPr>
        <w:t>/her</w:t>
      </w:r>
      <w:r w:rsidR="002C007B" w:rsidRPr="002C007B">
        <w:rPr>
          <w:rFonts w:asciiTheme="majorBidi" w:hAnsiTheme="majorBidi" w:cstheme="majorBidi"/>
          <w:color w:val="000000"/>
          <w:shd w:val="clear" w:color="auto" w:fill="FFFFFF"/>
        </w:rPr>
        <w:t xml:space="preserve"> support.</w:t>
      </w:r>
    </w:p>
    <w:p w14:paraId="469B1E14" w14:textId="77777777" w:rsidR="002C007B" w:rsidRDefault="002C007B" w:rsidP="002F236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653E21A1" w14:textId="02926E38" w:rsidR="006F15E9" w:rsidRPr="00D456D0" w:rsidRDefault="002C007B" w:rsidP="002F2369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6</w:t>
      </w:r>
      <w:r w:rsidR="008C4B47" w:rsidRPr="00D456D0">
        <w:rPr>
          <w:rFonts w:asciiTheme="majorBidi" w:hAnsiTheme="majorBidi" w:cstheme="majorBidi"/>
          <w:b/>
          <w:bCs/>
        </w:rPr>
        <w:t>.</w:t>
      </w:r>
      <w:r w:rsidR="008C4B47" w:rsidRPr="00D456D0">
        <w:rPr>
          <w:rFonts w:asciiTheme="majorBidi" w:hAnsiTheme="majorBidi" w:cstheme="majorBidi"/>
          <w:b/>
          <w:bCs/>
        </w:rPr>
        <w:tab/>
      </w:r>
      <w:r w:rsidR="00681722" w:rsidRPr="00D456D0">
        <w:rPr>
          <w:rFonts w:asciiTheme="majorBidi" w:hAnsiTheme="majorBidi" w:cstheme="majorBidi"/>
          <w:b/>
          <w:bCs/>
        </w:rPr>
        <w:t>Other types of</w:t>
      </w:r>
      <w:r w:rsidR="00657A6A" w:rsidRPr="00D456D0">
        <w:rPr>
          <w:rFonts w:asciiTheme="majorBidi" w:hAnsiTheme="majorBidi" w:cstheme="majorBidi"/>
          <w:b/>
          <w:bCs/>
        </w:rPr>
        <w:t xml:space="preserve"> leave</w:t>
      </w:r>
      <w:r w:rsidR="002F2369" w:rsidRPr="00D456D0">
        <w:rPr>
          <w:rFonts w:asciiTheme="majorBidi" w:hAnsiTheme="majorBidi" w:cstheme="majorBidi"/>
          <w:b/>
          <w:bCs/>
        </w:rPr>
        <w:t xml:space="preserve"> </w:t>
      </w:r>
    </w:p>
    <w:p w14:paraId="09E7842D" w14:textId="04EF013B" w:rsidR="0029787B" w:rsidRPr="00D456D0" w:rsidRDefault="0029787B">
      <w:pPr>
        <w:spacing w:after="0" w:line="240" w:lineRule="auto"/>
        <w:rPr>
          <w:rFonts w:asciiTheme="majorBidi" w:hAnsiTheme="majorBidi" w:cstheme="majorBidi"/>
        </w:rPr>
      </w:pPr>
    </w:p>
    <w:p w14:paraId="50FB8E24" w14:textId="29BC4DC3" w:rsidR="002F2369" w:rsidRDefault="00681722" w:rsidP="005A7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color w:val="000000"/>
        </w:rPr>
      </w:pPr>
      <w:r w:rsidRPr="00712675">
        <w:rPr>
          <w:rFonts w:asciiTheme="majorBidi" w:hAnsiTheme="majorBidi" w:cstheme="majorBidi"/>
          <w:color w:val="000000"/>
        </w:rPr>
        <w:t xml:space="preserve">See Faculty Handbook </w:t>
      </w:r>
      <w:bookmarkStart w:id="2" w:name="_Hlk45125989"/>
      <w:r w:rsidR="00AF7520">
        <w:fldChar w:fldCharType="begin"/>
      </w:r>
      <w:r w:rsidR="002C007B">
        <w:instrText>HYPERLINK "https://facultyhandbook.udel.edu/handbook/4114-academic-leaves-absence"</w:instrText>
      </w:r>
      <w:r w:rsidR="00AF7520">
        <w:fldChar w:fldCharType="separate"/>
      </w:r>
      <w:r w:rsidRPr="005433F6">
        <w:rPr>
          <w:rStyle w:val="Hyperlink"/>
          <w:rFonts w:asciiTheme="majorBidi" w:hAnsiTheme="majorBidi" w:cstheme="majorBidi"/>
        </w:rPr>
        <w:t>Section 4.1.14</w:t>
      </w:r>
      <w:r w:rsidR="00AF7520">
        <w:rPr>
          <w:rStyle w:val="Hyperlink"/>
          <w:rFonts w:asciiTheme="majorBidi" w:hAnsiTheme="majorBidi" w:cstheme="majorBidi"/>
        </w:rPr>
        <w:fldChar w:fldCharType="end"/>
      </w:r>
      <w:bookmarkEnd w:id="2"/>
      <w:r w:rsidRPr="00712675">
        <w:rPr>
          <w:rFonts w:asciiTheme="majorBidi" w:hAnsiTheme="majorBidi" w:cstheme="majorBidi"/>
          <w:color w:val="000000"/>
        </w:rPr>
        <w:t xml:space="preserve"> for more information</w:t>
      </w:r>
      <w:r w:rsidR="002F2369" w:rsidRPr="00712675">
        <w:rPr>
          <w:rFonts w:asciiTheme="majorBidi" w:hAnsiTheme="majorBidi" w:cstheme="majorBidi"/>
          <w:color w:val="000000"/>
        </w:rPr>
        <w:t xml:space="preserve"> about other types of leave, including family, medical, military, sick, vacation, and retirement leave.</w:t>
      </w:r>
    </w:p>
    <w:p w14:paraId="37FFEFF5" w14:textId="735C1D1B" w:rsidR="00404391" w:rsidRDefault="00404391" w:rsidP="005A7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 w:rsidRPr="00160EB0">
        <w:rPr>
          <w:rFonts w:asciiTheme="majorBidi" w:hAnsiTheme="majorBidi" w:cstheme="majorBidi"/>
          <w:b/>
          <w:bCs/>
          <w:color w:val="000000"/>
        </w:rPr>
        <w:lastRenderedPageBreak/>
        <w:t>Exceptions and Notes</w:t>
      </w:r>
    </w:p>
    <w:p w14:paraId="2FD57D1C" w14:textId="43CB563B" w:rsidR="00404391" w:rsidRDefault="00414A73" w:rsidP="0040439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When a </w:t>
      </w:r>
      <w:r w:rsidRPr="00414A73">
        <w:rPr>
          <w:rFonts w:asciiTheme="majorBidi" w:hAnsiTheme="majorBidi" w:cstheme="majorBidi"/>
          <w:color w:val="000000"/>
        </w:rPr>
        <w:t xml:space="preserve">faculty member </w:t>
      </w:r>
      <w:r>
        <w:rPr>
          <w:rFonts w:asciiTheme="majorBidi" w:hAnsiTheme="majorBidi" w:cstheme="majorBidi"/>
          <w:color w:val="000000"/>
        </w:rPr>
        <w:t>stops the clock, their peer review is postponed a year</w:t>
      </w:r>
      <w:r w:rsidRPr="00414A73">
        <w:rPr>
          <w:rFonts w:asciiTheme="majorBidi" w:hAnsiTheme="majorBidi" w:cstheme="majorBidi"/>
          <w:color w:val="000000"/>
        </w:rPr>
        <w:t xml:space="preserve">. </w:t>
      </w:r>
      <w:r>
        <w:rPr>
          <w:rFonts w:asciiTheme="majorBidi" w:hAnsiTheme="majorBidi" w:cstheme="majorBidi"/>
          <w:color w:val="000000"/>
        </w:rPr>
        <w:t>In addition</w:t>
      </w:r>
      <w:r w:rsidRPr="00414A73">
        <w:rPr>
          <w:rFonts w:asciiTheme="majorBidi" w:hAnsiTheme="majorBidi" w:cstheme="majorBidi"/>
          <w:color w:val="000000"/>
        </w:rPr>
        <w:t>, the</w:t>
      </w:r>
      <w:r>
        <w:rPr>
          <w:rFonts w:asciiTheme="majorBidi" w:hAnsiTheme="majorBidi" w:cstheme="majorBidi"/>
          <w:color w:val="000000"/>
        </w:rPr>
        <w:t>ir</w:t>
      </w:r>
      <w:r w:rsidRPr="00414A73">
        <w:rPr>
          <w:rFonts w:asciiTheme="majorBidi" w:hAnsiTheme="majorBidi" w:cstheme="majorBidi"/>
          <w:color w:val="000000"/>
        </w:rPr>
        <w:t xml:space="preserve"> contract </w:t>
      </w:r>
      <w:r>
        <w:rPr>
          <w:rFonts w:asciiTheme="majorBidi" w:hAnsiTheme="majorBidi" w:cstheme="majorBidi"/>
          <w:color w:val="000000"/>
        </w:rPr>
        <w:t>is</w:t>
      </w:r>
      <w:r w:rsidRPr="00414A73">
        <w:rPr>
          <w:rFonts w:asciiTheme="majorBidi" w:hAnsiTheme="majorBidi" w:cstheme="majorBidi"/>
          <w:color w:val="000000"/>
        </w:rPr>
        <w:t xml:space="preserve"> extended automatically for a year. </w:t>
      </w:r>
      <w:r w:rsidRPr="00160EB0">
        <w:rPr>
          <w:rFonts w:asciiTheme="majorBidi" w:hAnsiTheme="majorBidi" w:cstheme="majorBidi"/>
          <w:b/>
          <w:bCs/>
          <w:color w:val="000000"/>
        </w:rPr>
        <w:t>A JED must be submitted to extend the contract by a year so that the HR Record reflects the accurate contract period.</w:t>
      </w:r>
    </w:p>
    <w:p w14:paraId="6AB7DEF0" w14:textId="28368F43" w:rsidR="00414A73" w:rsidRPr="00160EB0" w:rsidRDefault="00414A73" w:rsidP="00160EB0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Under extenuating instances when a peer review extension has been granted (i.e. during a pandemic (COVID-19)), any </w:t>
      </w:r>
      <w:r w:rsidRPr="00414A73">
        <w:rPr>
          <w:rFonts w:asciiTheme="majorBidi" w:hAnsiTheme="majorBidi" w:cstheme="majorBidi"/>
          <w:color w:val="000000"/>
        </w:rPr>
        <w:t>stop-the-clock action for FMLA leave is a separate event. In these circumstances, faculty members will be able to postpone their tenure review by 2 years.</w:t>
      </w:r>
    </w:p>
    <w:sectPr w:rsidR="00414A73" w:rsidRPr="00160EB0" w:rsidSect="005A7895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152" w:right="1440" w:bottom="1152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DBE4" w14:textId="77777777" w:rsidR="00906DDE" w:rsidRDefault="00906DDE">
      <w:pPr>
        <w:spacing w:after="0" w:line="240" w:lineRule="auto"/>
      </w:pPr>
      <w:r>
        <w:separator/>
      </w:r>
    </w:p>
  </w:endnote>
  <w:endnote w:type="continuationSeparator" w:id="0">
    <w:p w14:paraId="663F14E9" w14:textId="77777777" w:rsidR="00906DDE" w:rsidRDefault="0090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1234" w14:textId="50CA40EE" w:rsidR="006F15E9" w:rsidRDefault="00F71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59F5">
      <w:rPr>
        <w:noProof/>
        <w:color w:val="000000"/>
      </w:rPr>
      <w:t>4</w:t>
    </w:r>
    <w:r>
      <w:rPr>
        <w:color w:val="000000"/>
      </w:rPr>
      <w:fldChar w:fldCharType="end"/>
    </w:r>
  </w:p>
  <w:p w14:paraId="09F3CD13" w14:textId="77777777" w:rsidR="005A7895" w:rsidRDefault="005A7895" w:rsidP="005A7895">
    <w:pPr>
      <w:pBdr>
        <w:bottom w:val="single" w:sz="12" w:space="1" w:color="auto"/>
      </w:pBdr>
      <w:spacing w:after="0" w:line="240" w:lineRule="auto"/>
      <w:rPr>
        <w:rFonts w:asciiTheme="majorBidi" w:hAnsiTheme="majorBidi" w:cstheme="majorBidi"/>
      </w:rPr>
    </w:pPr>
  </w:p>
  <w:p w14:paraId="5D760FB5" w14:textId="01F4B8E7" w:rsidR="006F15E9" w:rsidRPr="005A7895" w:rsidRDefault="005A7895" w:rsidP="005A7895">
    <w:pPr>
      <w:spacing w:after="0" w:line="240" w:lineRule="auto"/>
      <w:rPr>
        <w:rFonts w:asciiTheme="majorBidi" w:hAnsiTheme="majorBidi" w:cstheme="majorBidi"/>
      </w:rPr>
    </w:pPr>
    <w:r w:rsidRPr="00BD19D9">
      <w:rPr>
        <w:rFonts w:asciiTheme="majorBidi" w:hAnsiTheme="majorBidi" w:cstheme="majorBidi"/>
      </w:rPr>
      <w:t>All policies and procedures herein are viewed to be consistent with and are superseded by those stated in the UD Faculty Handbook.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83798" w14:textId="77777777" w:rsidR="005A7895" w:rsidRDefault="005A7895" w:rsidP="005A7895">
    <w:pPr>
      <w:pBdr>
        <w:bottom w:val="single" w:sz="12" w:space="1" w:color="auto"/>
      </w:pBdr>
      <w:spacing w:after="0" w:line="240" w:lineRule="auto"/>
      <w:rPr>
        <w:rFonts w:asciiTheme="majorBidi" w:hAnsiTheme="majorBidi" w:cstheme="majorBidi"/>
      </w:rPr>
    </w:pPr>
  </w:p>
  <w:p w14:paraId="26E9A31A" w14:textId="77777777" w:rsidR="005A7895" w:rsidRPr="00D456D0" w:rsidRDefault="005A7895" w:rsidP="005A7895">
    <w:pPr>
      <w:spacing w:after="0" w:line="240" w:lineRule="auto"/>
      <w:rPr>
        <w:rFonts w:asciiTheme="majorBidi" w:hAnsiTheme="majorBidi" w:cstheme="majorBidi"/>
      </w:rPr>
    </w:pPr>
    <w:r w:rsidRPr="00BD19D9">
      <w:rPr>
        <w:rFonts w:asciiTheme="majorBidi" w:hAnsiTheme="majorBidi" w:cstheme="majorBidi"/>
      </w:rPr>
      <w:t>All policies and procedures herein are viewed to be consistent with and are superseded by those stated in the UD Faculty Handbook.</w:t>
    </w:r>
  </w:p>
  <w:p w14:paraId="78D97346" w14:textId="77777777" w:rsidR="005A7895" w:rsidRDefault="005A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F510D" w14:textId="77777777" w:rsidR="00906DDE" w:rsidRDefault="00906DDE">
      <w:pPr>
        <w:spacing w:after="0" w:line="240" w:lineRule="auto"/>
      </w:pPr>
      <w:r>
        <w:separator/>
      </w:r>
    </w:p>
  </w:footnote>
  <w:footnote w:type="continuationSeparator" w:id="0">
    <w:p w14:paraId="40ED4356" w14:textId="77777777" w:rsidR="00906DDE" w:rsidRDefault="0090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F033" w14:textId="13BB7B35" w:rsidR="00CB3C6E" w:rsidRDefault="00CB3C6E" w:rsidP="00CB3C6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247D" w14:textId="0AB049DA" w:rsidR="00CB3C6E" w:rsidRDefault="00771888" w:rsidP="00771888">
    <w:pPr>
      <w:pStyle w:val="Header"/>
    </w:pPr>
    <w:r>
      <w:rPr>
        <w:noProof/>
        <w:lang w:bidi="ar-SA"/>
      </w:rPr>
      <w:drawing>
        <wp:inline distT="0" distB="0" distL="0" distR="0" wp14:anchorId="280DDE6E" wp14:editId="371AD836">
          <wp:extent cx="2867025" cy="8601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171" cy="864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344"/>
    <w:multiLevelType w:val="multilevel"/>
    <w:tmpl w:val="18E43858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87698"/>
    <w:multiLevelType w:val="multilevel"/>
    <w:tmpl w:val="E8046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D873F6"/>
    <w:multiLevelType w:val="multilevel"/>
    <w:tmpl w:val="DF7C2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212800"/>
    <w:multiLevelType w:val="hybridMultilevel"/>
    <w:tmpl w:val="1CBA6AD4"/>
    <w:lvl w:ilvl="0" w:tplc="60A652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07DA3"/>
    <w:multiLevelType w:val="hybridMultilevel"/>
    <w:tmpl w:val="571E7B6C"/>
    <w:lvl w:ilvl="0" w:tplc="F490E5A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82840"/>
    <w:multiLevelType w:val="multilevel"/>
    <w:tmpl w:val="B3BCD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523188"/>
    <w:multiLevelType w:val="hybridMultilevel"/>
    <w:tmpl w:val="C6B48FA8"/>
    <w:lvl w:ilvl="0" w:tplc="366C13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760A"/>
    <w:multiLevelType w:val="multilevel"/>
    <w:tmpl w:val="EFBC9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240"/>
        </w:tabs>
        <w:ind w:left="14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360F0"/>
    <w:multiLevelType w:val="multilevel"/>
    <w:tmpl w:val="5580A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C2D6608"/>
    <w:multiLevelType w:val="hybridMultilevel"/>
    <w:tmpl w:val="F646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426B"/>
    <w:multiLevelType w:val="multilevel"/>
    <w:tmpl w:val="97C26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767658"/>
    <w:multiLevelType w:val="multilevel"/>
    <w:tmpl w:val="AF6C62D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A06D10"/>
    <w:multiLevelType w:val="hybridMultilevel"/>
    <w:tmpl w:val="856AD6D2"/>
    <w:lvl w:ilvl="0" w:tplc="366C13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2C74"/>
    <w:multiLevelType w:val="hybridMultilevel"/>
    <w:tmpl w:val="018CB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347F85"/>
    <w:multiLevelType w:val="multilevel"/>
    <w:tmpl w:val="DCB47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5673D2"/>
    <w:multiLevelType w:val="multilevel"/>
    <w:tmpl w:val="EFBC9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240"/>
        </w:tabs>
        <w:ind w:left="14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DA147E"/>
    <w:multiLevelType w:val="multilevel"/>
    <w:tmpl w:val="9D0C4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6D067E"/>
    <w:multiLevelType w:val="multilevel"/>
    <w:tmpl w:val="6D3AB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AB3E24"/>
    <w:multiLevelType w:val="multilevel"/>
    <w:tmpl w:val="6ABAF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A202810"/>
    <w:multiLevelType w:val="multilevel"/>
    <w:tmpl w:val="2A66E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56159D2"/>
    <w:multiLevelType w:val="multilevel"/>
    <w:tmpl w:val="1D083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8F657F4"/>
    <w:multiLevelType w:val="multilevel"/>
    <w:tmpl w:val="5AB0755E"/>
    <w:lvl w:ilvl="0">
      <w:start w:val="1"/>
      <w:numFmt w:val="bullet"/>
      <w:lvlText w:val="*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240"/>
        </w:tabs>
        <w:ind w:left="14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20"/>
  </w:num>
  <w:num w:numId="16">
    <w:abstractNumId w:val="3"/>
  </w:num>
  <w:num w:numId="17">
    <w:abstractNumId w:val="12"/>
  </w:num>
  <w:num w:numId="18">
    <w:abstractNumId w:val="6"/>
  </w:num>
  <w:num w:numId="19">
    <w:abstractNumId w:val="21"/>
  </w:num>
  <w:num w:numId="20">
    <w:abstractNumId w:val="7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E9"/>
    <w:rsid w:val="00015F21"/>
    <w:rsid w:val="000A38CC"/>
    <w:rsid w:val="000F3081"/>
    <w:rsid w:val="000F38FC"/>
    <w:rsid w:val="001053B3"/>
    <w:rsid w:val="00120F0A"/>
    <w:rsid w:val="00146FEA"/>
    <w:rsid w:val="00160EB0"/>
    <w:rsid w:val="001B0BDA"/>
    <w:rsid w:val="001D3435"/>
    <w:rsid w:val="001E73B5"/>
    <w:rsid w:val="001F26E6"/>
    <w:rsid w:val="00200DAC"/>
    <w:rsid w:val="002108AE"/>
    <w:rsid w:val="0022306C"/>
    <w:rsid w:val="00224D38"/>
    <w:rsid w:val="00226CE7"/>
    <w:rsid w:val="0029787B"/>
    <w:rsid w:val="002B07E7"/>
    <w:rsid w:val="002C007B"/>
    <w:rsid w:val="002C7DCB"/>
    <w:rsid w:val="002D6C0E"/>
    <w:rsid w:val="002F2369"/>
    <w:rsid w:val="002F30BD"/>
    <w:rsid w:val="003316FF"/>
    <w:rsid w:val="0033481F"/>
    <w:rsid w:val="00337F81"/>
    <w:rsid w:val="00353C49"/>
    <w:rsid w:val="00365E6A"/>
    <w:rsid w:val="003778AC"/>
    <w:rsid w:val="00386ABB"/>
    <w:rsid w:val="0039220C"/>
    <w:rsid w:val="003A0ACE"/>
    <w:rsid w:val="003B236E"/>
    <w:rsid w:val="003B36B1"/>
    <w:rsid w:val="003D0A1E"/>
    <w:rsid w:val="003F1751"/>
    <w:rsid w:val="003F1AF8"/>
    <w:rsid w:val="00404391"/>
    <w:rsid w:val="00414A73"/>
    <w:rsid w:val="004326D8"/>
    <w:rsid w:val="00433080"/>
    <w:rsid w:val="00467BB6"/>
    <w:rsid w:val="00497847"/>
    <w:rsid w:val="005433F6"/>
    <w:rsid w:val="00555953"/>
    <w:rsid w:val="00557EB3"/>
    <w:rsid w:val="00590F02"/>
    <w:rsid w:val="005A7895"/>
    <w:rsid w:val="005C3B06"/>
    <w:rsid w:val="005E4CD3"/>
    <w:rsid w:val="005F665E"/>
    <w:rsid w:val="005F7FC2"/>
    <w:rsid w:val="006015BD"/>
    <w:rsid w:val="006059F6"/>
    <w:rsid w:val="006340D7"/>
    <w:rsid w:val="00657A6A"/>
    <w:rsid w:val="00681722"/>
    <w:rsid w:val="006B0628"/>
    <w:rsid w:val="006C0ED8"/>
    <w:rsid w:val="006C5564"/>
    <w:rsid w:val="006F1282"/>
    <w:rsid w:val="006F15E9"/>
    <w:rsid w:val="006F3A46"/>
    <w:rsid w:val="006F4311"/>
    <w:rsid w:val="00702DA7"/>
    <w:rsid w:val="00705AF2"/>
    <w:rsid w:val="00712675"/>
    <w:rsid w:val="00744D2F"/>
    <w:rsid w:val="00770B67"/>
    <w:rsid w:val="00771888"/>
    <w:rsid w:val="007758C9"/>
    <w:rsid w:val="007804DE"/>
    <w:rsid w:val="007C1A44"/>
    <w:rsid w:val="007C2D94"/>
    <w:rsid w:val="007C5679"/>
    <w:rsid w:val="007D69CF"/>
    <w:rsid w:val="008013AA"/>
    <w:rsid w:val="00802DBE"/>
    <w:rsid w:val="0080712C"/>
    <w:rsid w:val="00875F83"/>
    <w:rsid w:val="008774DC"/>
    <w:rsid w:val="00881E43"/>
    <w:rsid w:val="008C40A9"/>
    <w:rsid w:val="008C4B47"/>
    <w:rsid w:val="008F7E3A"/>
    <w:rsid w:val="00902B7F"/>
    <w:rsid w:val="009047A7"/>
    <w:rsid w:val="00906DDE"/>
    <w:rsid w:val="009071CD"/>
    <w:rsid w:val="009846F7"/>
    <w:rsid w:val="009A612B"/>
    <w:rsid w:val="009B3C12"/>
    <w:rsid w:val="009E59F5"/>
    <w:rsid w:val="009F358D"/>
    <w:rsid w:val="00A15F7A"/>
    <w:rsid w:val="00A371FE"/>
    <w:rsid w:val="00A4724E"/>
    <w:rsid w:val="00A7582C"/>
    <w:rsid w:val="00AF7520"/>
    <w:rsid w:val="00B224A0"/>
    <w:rsid w:val="00B23B7B"/>
    <w:rsid w:val="00B43833"/>
    <w:rsid w:val="00B46D44"/>
    <w:rsid w:val="00B66D67"/>
    <w:rsid w:val="00BD19D9"/>
    <w:rsid w:val="00BF58FF"/>
    <w:rsid w:val="00C066EA"/>
    <w:rsid w:val="00C223DD"/>
    <w:rsid w:val="00C24316"/>
    <w:rsid w:val="00C37AE8"/>
    <w:rsid w:val="00C944DB"/>
    <w:rsid w:val="00CA6124"/>
    <w:rsid w:val="00CB3C6E"/>
    <w:rsid w:val="00CC55C3"/>
    <w:rsid w:val="00CE263B"/>
    <w:rsid w:val="00CE330F"/>
    <w:rsid w:val="00CF1EC4"/>
    <w:rsid w:val="00D25AED"/>
    <w:rsid w:val="00D456D0"/>
    <w:rsid w:val="00D47414"/>
    <w:rsid w:val="00D904A6"/>
    <w:rsid w:val="00D94957"/>
    <w:rsid w:val="00DA634B"/>
    <w:rsid w:val="00DC3D10"/>
    <w:rsid w:val="00DE1073"/>
    <w:rsid w:val="00DE3D91"/>
    <w:rsid w:val="00DF6F91"/>
    <w:rsid w:val="00E00F10"/>
    <w:rsid w:val="00E6431A"/>
    <w:rsid w:val="00E815CB"/>
    <w:rsid w:val="00E85988"/>
    <w:rsid w:val="00EB7377"/>
    <w:rsid w:val="00EC7813"/>
    <w:rsid w:val="00EC7C6B"/>
    <w:rsid w:val="00F02646"/>
    <w:rsid w:val="00F53FA8"/>
    <w:rsid w:val="00F71E43"/>
    <w:rsid w:val="00F867FC"/>
    <w:rsid w:val="00F97171"/>
    <w:rsid w:val="00FD1DC4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A883"/>
  <w15:docId w15:val="{1386E03B-18D9-4B59-BDA1-F639AEE6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1A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6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F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C6E"/>
  </w:style>
  <w:style w:type="paragraph" w:styleId="Footer">
    <w:name w:val="footer"/>
    <w:basedOn w:val="Normal"/>
    <w:link w:val="FooterChar"/>
    <w:uiPriority w:val="99"/>
    <w:unhideWhenUsed/>
    <w:rsid w:val="00CB3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C6E"/>
  </w:style>
  <w:style w:type="character" w:styleId="FollowedHyperlink">
    <w:name w:val="FollowedHyperlink"/>
    <w:basedOn w:val="DefaultParagraphFont"/>
    <w:uiPriority w:val="99"/>
    <w:semiHidden/>
    <w:unhideWhenUsed/>
    <w:rsid w:val="003D0A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5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433F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8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4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apps.nss.udel.edu/webforms/" TargetMode="External"/><Relationship Id="rId13" Type="http://schemas.openxmlformats.org/officeDocument/2006/relationships/hyperlink" Target="https://www.udel.edu/content/dam/udelImages/human-resources/EmployeeRelations/cbas/AAUP.pdf" TargetMode="External"/><Relationship Id="rId18" Type="http://schemas.openxmlformats.org/officeDocument/2006/relationships/hyperlink" Target="https://facultyhandbook.udel.edu/handbook/4114-academic-leaves-absenc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facultyhandbook.udel.edu/handbook/41147-sabbatical-leaves" TargetMode="External"/><Relationship Id="rId12" Type="http://schemas.openxmlformats.org/officeDocument/2006/relationships/hyperlink" Target="https://facultyhandbook.udel.edu/handbook/4415-stop-tenure-clock" TargetMode="External"/><Relationship Id="rId17" Type="http://schemas.openxmlformats.org/officeDocument/2006/relationships/hyperlink" Target="https://facultyhandbook.udel.edu/handbook/41146-research/scholarship-semester-tenure%E2%80%90track-assistant-professor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acultyhandbook.udel.edu/handbook/416-non%E2%80%90tenure-track-faculty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ources.engr.udel.edu/wp-content/uploads/2019/12/Template_MOU-Parental-Administered-Load-FINAL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dapps.nss.udel.edu/webforms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udel.edu/content/dam/udelImages/human-resources/EmployeeRelations/cbas/AAUP.pdf" TargetMode="External"/><Relationship Id="rId19" Type="http://schemas.openxmlformats.org/officeDocument/2006/relationships/hyperlink" Target="https://resources.engr.udel.edu/wp-content/uploads/2020/07/Template_MOU-Unpaid-Leav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ultyhandbook.udel.edu/handbook/41143-parental-leave" TargetMode="External"/><Relationship Id="rId14" Type="http://schemas.openxmlformats.org/officeDocument/2006/relationships/hyperlink" Target="https://facultyhandbook.udel.edu/handbook/416-non%E2%80%90tenure-track-faculty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Rachel</dc:creator>
  <cp:lastModifiedBy>Jordan, Wendy</cp:lastModifiedBy>
  <cp:revision>5</cp:revision>
  <cp:lastPrinted>2019-11-14T13:30:00Z</cp:lastPrinted>
  <dcterms:created xsi:type="dcterms:W3CDTF">2020-10-15T20:35:00Z</dcterms:created>
  <dcterms:modified xsi:type="dcterms:W3CDTF">2020-11-19T21:41:00Z</dcterms:modified>
</cp:coreProperties>
</file>